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382" w:rsidRPr="007E03E5" w:rsidRDefault="00FF3382" w:rsidP="00FF3382">
      <w:pPr>
        <w:widowControl/>
        <w:shd w:val="clear" w:color="auto" w:fill="FFFFFF"/>
        <w:spacing w:before="75" w:after="75" w:line="315" w:lineRule="atLeast"/>
        <w:jc w:val="center"/>
        <w:rPr>
          <w:rFonts w:ascii="楷体_GB2312" w:eastAsia="楷体_GB2312" w:hAnsi="微软雅黑" w:cs="宋体"/>
          <w:b/>
          <w:bCs/>
          <w:color w:val="333333"/>
          <w:kern w:val="0"/>
          <w:sz w:val="44"/>
          <w:szCs w:val="44"/>
        </w:rPr>
      </w:pPr>
      <w:r w:rsidRPr="007E03E5">
        <w:rPr>
          <w:rFonts w:ascii="楷体_GB2312" w:eastAsia="楷体_GB2312" w:hAnsi="微软雅黑" w:cs="宋体" w:hint="eastAsia"/>
          <w:b/>
          <w:bCs/>
          <w:color w:val="333333"/>
          <w:kern w:val="0"/>
          <w:sz w:val="44"/>
          <w:szCs w:val="44"/>
        </w:rPr>
        <w:t>上海对外经贸大学思源金融讲坛</w:t>
      </w:r>
    </w:p>
    <w:p w:rsidR="00FF3382" w:rsidRPr="0090549F" w:rsidRDefault="00FF3382" w:rsidP="00FF3382">
      <w:pPr>
        <w:widowControl/>
        <w:shd w:val="clear" w:color="auto" w:fill="FFFFFF"/>
        <w:spacing w:before="75" w:after="75" w:line="315" w:lineRule="atLeast"/>
        <w:jc w:val="center"/>
        <w:rPr>
          <w:rFonts w:ascii="楷体_GB2312" w:eastAsia="楷体_GB2312" w:hAnsi="微软雅黑" w:cs="宋体"/>
          <w:b/>
          <w:bCs/>
          <w:color w:val="333333"/>
          <w:kern w:val="0"/>
          <w:sz w:val="36"/>
          <w:szCs w:val="36"/>
        </w:rPr>
      </w:pPr>
      <w:r>
        <w:rPr>
          <w:rFonts w:ascii="楷体_GB2312" w:eastAsia="楷体_GB2312" w:hAnsi="微软雅黑" w:cs="宋体" w:hint="eastAsia"/>
          <w:b/>
          <w:bCs/>
          <w:color w:val="333333"/>
          <w:kern w:val="0"/>
          <w:sz w:val="36"/>
          <w:szCs w:val="36"/>
        </w:rPr>
        <w:t>——</w:t>
      </w:r>
      <w:r w:rsidRPr="0090549F">
        <w:rPr>
          <w:rFonts w:ascii="楷体_GB2312" w:eastAsia="楷体_GB2312" w:hAnsi="微软雅黑" w:cs="宋体" w:hint="eastAsia"/>
          <w:b/>
          <w:bCs/>
          <w:color w:val="333333"/>
          <w:kern w:val="0"/>
          <w:sz w:val="36"/>
          <w:szCs w:val="36"/>
        </w:rPr>
        <w:t>学术</w:t>
      </w:r>
      <w:r>
        <w:rPr>
          <w:rFonts w:ascii="楷体_GB2312" w:eastAsia="楷体_GB2312" w:hAnsi="微软雅黑" w:cs="宋体" w:hint="eastAsia"/>
          <w:b/>
          <w:bCs/>
          <w:color w:val="333333"/>
          <w:kern w:val="0"/>
          <w:sz w:val="36"/>
          <w:szCs w:val="36"/>
        </w:rPr>
        <w:t>报告</w:t>
      </w:r>
      <w:r w:rsidRPr="0090549F">
        <w:rPr>
          <w:rFonts w:ascii="楷体_GB2312" w:eastAsia="楷体_GB2312" w:hAnsi="微软雅黑" w:cs="宋体" w:hint="eastAsia"/>
          <w:b/>
          <w:bCs/>
          <w:color w:val="333333"/>
          <w:kern w:val="0"/>
          <w:sz w:val="36"/>
          <w:szCs w:val="36"/>
        </w:rPr>
        <w:t>第</w:t>
      </w:r>
      <w:r>
        <w:rPr>
          <w:rFonts w:ascii="楷体_GB2312" w:eastAsia="楷体_GB2312" w:hAnsi="微软雅黑" w:cs="宋体" w:hint="eastAsia"/>
          <w:b/>
          <w:bCs/>
          <w:color w:val="333333"/>
          <w:kern w:val="0"/>
          <w:sz w:val="36"/>
          <w:szCs w:val="36"/>
        </w:rPr>
        <w:t>4</w:t>
      </w:r>
      <w:r w:rsidR="000E5CC3">
        <w:rPr>
          <w:rFonts w:ascii="楷体_GB2312" w:eastAsia="楷体_GB2312" w:hAnsi="微软雅黑" w:cs="宋体" w:hint="eastAsia"/>
          <w:b/>
          <w:bCs/>
          <w:color w:val="333333"/>
          <w:kern w:val="0"/>
          <w:sz w:val="36"/>
          <w:szCs w:val="36"/>
        </w:rPr>
        <w:t>2</w:t>
      </w:r>
      <w:r w:rsidRPr="0090549F">
        <w:rPr>
          <w:rFonts w:ascii="楷体_GB2312" w:eastAsia="楷体_GB2312" w:hAnsi="微软雅黑" w:cs="宋体" w:hint="eastAsia"/>
          <w:b/>
          <w:bCs/>
          <w:color w:val="333333"/>
          <w:kern w:val="0"/>
          <w:sz w:val="36"/>
          <w:szCs w:val="36"/>
        </w:rPr>
        <w:t>期</w:t>
      </w:r>
    </w:p>
    <w:p w:rsidR="0046509C" w:rsidRDefault="0046509C" w:rsidP="00265EE2">
      <w:pPr>
        <w:pStyle w:val="Default"/>
        <w:rPr>
          <w:rFonts w:ascii="楷体_GB2312" w:eastAsia="楷体_GB2312" w:hAnsi="宋体" w:cs="宋体"/>
          <w:b/>
          <w:bCs/>
          <w:color w:val="333333"/>
        </w:rPr>
      </w:pPr>
    </w:p>
    <w:p w:rsidR="0046509C" w:rsidRPr="000E5CC3" w:rsidRDefault="00FA365C" w:rsidP="00687659">
      <w:pPr>
        <w:autoSpaceDE w:val="0"/>
        <w:autoSpaceDN w:val="0"/>
        <w:adjustRightInd w:val="0"/>
        <w:jc w:val="left"/>
        <w:rPr>
          <w:rFonts w:ascii="Times New Roman" w:hAnsi="Times New Roman" w:cs="Times New Roman"/>
          <w:bCs/>
          <w:kern w:val="0"/>
          <w:sz w:val="24"/>
          <w:szCs w:val="24"/>
        </w:rPr>
      </w:pPr>
      <w:r w:rsidRPr="00FF3382">
        <w:rPr>
          <w:rFonts w:ascii="楷体_GB2312" w:eastAsia="楷体_GB2312" w:hAnsi="宋体" w:cs="宋体" w:hint="eastAsia"/>
          <w:b/>
          <w:bCs/>
          <w:color w:val="333333"/>
          <w:sz w:val="24"/>
          <w:szCs w:val="24"/>
        </w:rPr>
        <w:t>题目</w:t>
      </w:r>
      <w:r w:rsidRPr="00FA365C">
        <w:rPr>
          <w:rFonts w:ascii="楷体_GB2312" w:eastAsia="楷体_GB2312" w:hAnsi="宋体" w:cs="宋体" w:hint="eastAsia"/>
          <w:b/>
          <w:bCs/>
          <w:color w:val="333333"/>
        </w:rPr>
        <w:t>：</w:t>
      </w:r>
      <w:r w:rsidR="000E5CC3" w:rsidRPr="000E5CC3">
        <w:rPr>
          <w:rFonts w:ascii="Times New Roman" w:hAnsi="Times New Roman" w:cs="Times New Roman"/>
          <w:bCs/>
          <w:kern w:val="0"/>
          <w:sz w:val="24"/>
          <w:szCs w:val="24"/>
        </w:rPr>
        <w:t>Presidential Elections, Political Sensitivity, and</w:t>
      </w:r>
      <w:r w:rsidR="000E5CC3" w:rsidRPr="000E5CC3">
        <w:rPr>
          <w:rFonts w:ascii="Times New Roman" w:hAnsi="Times New Roman" w:cs="Times New Roman" w:hint="eastAsia"/>
          <w:bCs/>
          <w:kern w:val="0"/>
          <w:sz w:val="24"/>
          <w:szCs w:val="24"/>
        </w:rPr>
        <w:t xml:space="preserve"> </w:t>
      </w:r>
      <w:r w:rsidR="000E5CC3" w:rsidRPr="000E5CC3">
        <w:rPr>
          <w:rFonts w:ascii="Times New Roman" w:hAnsi="Times New Roman" w:cs="Times New Roman"/>
          <w:bCs/>
          <w:kern w:val="0"/>
          <w:sz w:val="24"/>
          <w:szCs w:val="24"/>
        </w:rPr>
        <w:t>Hedge Fund Performance</w:t>
      </w:r>
    </w:p>
    <w:p w:rsidR="00687659" w:rsidRDefault="00687659" w:rsidP="0046509C">
      <w:pPr>
        <w:pStyle w:val="Default"/>
        <w:rPr>
          <w:rFonts w:ascii="楷体_GB2312" w:eastAsia="楷体_GB2312" w:hAnsi="宋体" w:cs="宋体"/>
          <w:b/>
          <w:bCs/>
          <w:color w:val="333333"/>
        </w:rPr>
      </w:pPr>
    </w:p>
    <w:p w:rsidR="00D97F07" w:rsidRPr="000E5CC3" w:rsidRDefault="00FA365C" w:rsidP="00687659">
      <w:pPr>
        <w:autoSpaceDE w:val="0"/>
        <w:autoSpaceDN w:val="0"/>
        <w:adjustRightInd w:val="0"/>
        <w:jc w:val="left"/>
        <w:rPr>
          <w:rFonts w:ascii="Times New Roman" w:hAnsi="Times New Roman" w:cs="Times New Roman"/>
          <w:kern w:val="0"/>
          <w:sz w:val="24"/>
          <w:szCs w:val="24"/>
        </w:rPr>
      </w:pPr>
      <w:r w:rsidRPr="00FA365C">
        <w:rPr>
          <w:rFonts w:ascii="楷体_GB2312" w:eastAsia="楷体_GB2312" w:hAnsi="宋体" w:cs="宋体" w:hint="eastAsia"/>
          <w:b/>
          <w:bCs/>
          <w:color w:val="333333"/>
        </w:rPr>
        <w:t>报告人</w:t>
      </w:r>
      <w:r w:rsidRPr="00FA365C">
        <w:rPr>
          <w:rFonts w:ascii="楷体_GB2312" w:eastAsia="楷体_GB2312" w:hAnsi="宋体" w:cs="宋体" w:hint="eastAsia"/>
          <w:color w:val="333333"/>
        </w:rPr>
        <w:t>：</w:t>
      </w:r>
      <w:r w:rsidR="000E5CC3" w:rsidRPr="000E5CC3">
        <w:rPr>
          <w:rFonts w:ascii="Times New Roman" w:hAnsi="Times New Roman" w:cs="Times New Roman"/>
          <w:kern w:val="0"/>
          <w:sz w:val="24"/>
          <w:szCs w:val="24"/>
        </w:rPr>
        <w:t>Honghui Chen</w:t>
      </w:r>
      <w:r w:rsidR="000E5CC3">
        <w:rPr>
          <w:rFonts w:ascii="Times New Roman" w:eastAsia="楷体_GB2312" w:hAnsi="Times New Roman" w:cs="Times New Roman" w:hint="eastAsia"/>
          <w:color w:val="333333"/>
          <w:sz w:val="24"/>
          <w:szCs w:val="24"/>
        </w:rPr>
        <w:t xml:space="preserve">, </w:t>
      </w:r>
      <w:r w:rsidR="00687659" w:rsidRPr="000E5CC3">
        <w:rPr>
          <w:rFonts w:ascii="Times New Roman" w:hAnsi="Times New Roman" w:cs="Times New Roman"/>
          <w:kern w:val="0"/>
          <w:sz w:val="24"/>
          <w:szCs w:val="24"/>
        </w:rPr>
        <w:t xml:space="preserve">Department of </w:t>
      </w:r>
      <w:r w:rsidR="000E5CC3" w:rsidRPr="000E5CC3">
        <w:rPr>
          <w:rFonts w:ascii="Times New Roman" w:hAnsi="Times New Roman" w:cs="Times New Roman"/>
          <w:kern w:val="0"/>
          <w:sz w:val="24"/>
          <w:szCs w:val="24"/>
        </w:rPr>
        <w:t>Finance</w:t>
      </w:r>
      <w:r w:rsidR="00687659" w:rsidRPr="000E5CC3">
        <w:rPr>
          <w:rFonts w:ascii="Times New Roman" w:hAnsi="Times New Roman" w:cs="Times New Roman"/>
          <w:kern w:val="0"/>
          <w:sz w:val="24"/>
          <w:szCs w:val="24"/>
        </w:rPr>
        <w:t xml:space="preserve">, </w:t>
      </w:r>
      <w:r w:rsidR="000E5CC3" w:rsidRPr="000E5CC3">
        <w:rPr>
          <w:rFonts w:ascii="Times New Roman" w:hAnsi="Times New Roman" w:cs="Times New Roman"/>
          <w:kern w:val="0"/>
          <w:sz w:val="24"/>
          <w:szCs w:val="24"/>
        </w:rPr>
        <w:t>University of Central Florida</w:t>
      </w:r>
    </w:p>
    <w:p w:rsidR="00FA365C" w:rsidRPr="00FA365C" w:rsidRDefault="00FA365C" w:rsidP="00FA365C">
      <w:pPr>
        <w:widowControl/>
        <w:spacing w:before="100" w:beforeAutospacing="1" w:after="100" w:afterAutospacing="1" w:line="360" w:lineRule="atLeast"/>
        <w:jc w:val="left"/>
        <w:rPr>
          <w:rFonts w:ascii="Times New Roman" w:eastAsia="宋体" w:hAnsi="Times New Roman" w:cs="Times New Roman"/>
          <w:color w:val="333333"/>
          <w:kern w:val="0"/>
          <w:sz w:val="24"/>
          <w:szCs w:val="24"/>
        </w:rPr>
      </w:pPr>
      <w:r w:rsidRPr="00FA365C">
        <w:rPr>
          <w:rFonts w:ascii="楷体_GB2312" w:eastAsia="楷体_GB2312" w:hAnsi="宋体" w:cs="宋体" w:hint="eastAsia"/>
          <w:b/>
          <w:bCs/>
          <w:color w:val="333333"/>
          <w:kern w:val="0"/>
          <w:sz w:val="24"/>
          <w:szCs w:val="24"/>
        </w:rPr>
        <w:t>时间</w:t>
      </w:r>
      <w:r w:rsidRPr="00FA365C">
        <w:rPr>
          <w:rFonts w:ascii="楷体_GB2312" w:eastAsia="楷体_GB2312" w:hAnsi="宋体" w:cs="宋体" w:hint="eastAsia"/>
          <w:color w:val="333333"/>
          <w:kern w:val="0"/>
          <w:sz w:val="24"/>
          <w:szCs w:val="24"/>
        </w:rPr>
        <w:t>：</w:t>
      </w:r>
      <w:r w:rsidRPr="00FA365C">
        <w:rPr>
          <w:rFonts w:ascii="Times New Roman" w:eastAsia="宋体" w:hAnsi="Times New Roman" w:cs="Times New Roman"/>
          <w:color w:val="333333"/>
          <w:kern w:val="0"/>
          <w:sz w:val="24"/>
          <w:szCs w:val="24"/>
        </w:rPr>
        <w:t>201</w:t>
      </w:r>
      <w:r w:rsidR="008F1A2A">
        <w:rPr>
          <w:rFonts w:ascii="Times New Roman" w:eastAsia="宋体" w:hAnsi="Times New Roman" w:cs="Times New Roman" w:hint="eastAsia"/>
          <w:color w:val="333333"/>
          <w:kern w:val="0"/>
          <w:sz w:val="24"/>
          <w:szCs w:val="24"/>
        </w:rPr>
        <w:t>6</w:t>
      </w:r>
      <w:r w:rsidRPr="00FA365C">
        <w:rPr>
          <w:rFonts w:ascii="楷体_GB2312" w:eastAsia="楷体_GB2312" w:hAnsi="宋体" w:cs="宋体" w:hint="eastAsia"/>
          <w:color w:val="333333"/>
          <w:kern w:val="0"/>
          <w:sz w:val="24"/>
          <w:szCs w:val="24"/>
        </w:rPr>
        <w:t>年</w:t>
      </w:r>
      <w:r w:rsidR="00FF3382">
        <w:rPr>
          <w:rFonts w:ascii="Times New Roman" w:eastAsia="宋体" w:hAnsi="Times New Roman" w:cs="Times New Roman" w:hint="eastAsia"/>
          <w:color w:val="333333"/>
          <w:kern w:val="0"/>
          <w:sz w:val="24"/>
          <w:szCs w:val="24"/>
        </w:rPr>
        <w:t>1</w:t>
      </w:r>
      <w:r w:rsidR="000E5CC3">
        <w:rPr>
          <w:rFonts w:ascii="Times New Roman" w:eastAsia="宋体" w:hAnsi="Times New Roman" w:cs="Times New Roman" w:hint="eastAsia"/>
          <w:color w:val="333333"/>
          <w:kern w:val="0"/>
          <w:sz w:val="24"/>
          <w:szCs w:val="24"/>
        </w:rPr>
        <w:t>2</w:t>
      </w:r>
      <w:r w:rsidRPr="00FA365C">
        <w:rPr>
          <w:rFonts w:ascii="楷体_GB2312" w:eastAsia="楷体_GB2312" w:hAnsi="宋体" w:cs="宋体" w:hint="eastAsia"/>
          <w:color w:val="333333"/>
          <w:kern w:val="0"/>
          <w:sz w:val="24"/>
          <w:szCs w:val="24"/>
        </w:rPr>
        <w:t>月</w:t>
      </w:r>
      <w:r w:rsidR="000E5CC3">
        <w:rPr>
          <w:rFonts w:ascii="Times New Roman" w:eastAsia="楷体_GB2312" w:hAnsi="Times New Roman" w:cs="Times New Roman" w:hint="eastAsia"/>
          <w:color w:val="333333"/>
          <w:kern w:val="0"/>
          <w:sz w:val="24"/>
          <w:szCs w:val="24"/>
        </w:rPr>
        <w:t>15</w:t>
      </w:r>
      <w:r w:rsidRPr="00FA365C">
        <w:rPr>
          <w:rFonts w:ascii="楷体_GB2312" w:eastAsia="楷体_GB2312" w:hAnsi="宋体" w:cs="宋体" w:hint="eastAsia"/>
          <w:color w:val="333333"/>
          <w:kern w:val="0"/>
          <w:sz w:val="24"/>
          <w:szCs w:val="24"/>
        </w:rPr>
        <w:t>日</w:t>
      </w:r>
      <w:r w:rsidR="0046509C">
        <w:rPr>
          <w:rFonts w:ascii="楷体_GB2312" w:eastAsia="楷体_GB2312" w:hAnsi="宋体" w:cs="宋体" w:hint="eastAsia"/>
          <w:color w:val="333333"/>
          <w:kern w:val="0"/>
          <w:sz w:val="24"/>
          <w:szCs w:val="24"/>
        </w:rPr>
        <w:t>下</w:t>
      </w:r>
      <w:r w:rsidRPr="00FA365C">
        <w:rPr>
          <w:rFonts w:ascii="楷体_GB2312" w:eastAsia="楷体_GB2312" w:hAnsi="宋体" w:cs="宋体" w:hint="eastAsia"/>
          <w:color w:val="333333"/>
          <w:kern w:val="0"/>
          <w:sz w:val="24"/>
          <w:szCs w:val="24"/>
        </w:rPr>
        <w:t>午</w:t>
      </w:r>
      <w:r w:rsidR="00761EF6">
        <w:rPr>
          <w:rFonts w:ascii="Times New Roman" w:eastAsia="宋体" w:hAnsi="Times New Roman" w:cs="Times New Roman" w:hint="eastAsia"/>
          <w:color w:val="333333"/>
          <w:kern w:val="0"/>
          <w:sz w:val="24"/>
          <w:szCs w:val="24"/>
        </w:rPr>
        <w:t>1</w:t>
      </w:r>
      <w:r w:rsidR="008F1A2A">
        <w:rPr>
          <w:rFonts w:ascii="Times New Roman" w:eastAsia="楷体_GB2312" w:hAnsi="Times New Roman" w:cs="Times New Roman" w:hint="eastAsia"/>
          <w:color w:val="333333"/>
          <w:kern w:val="0"/>
          <w:sz w:val="24"/>
          <w:szCs w:val="24"/>
        </w:rPr>
        <w:t xml:space="preserve">: </w:t>
      </w:r>
      <w:r w:rsidR="008F1A2A">
        <w:rPr>
          <w:rFonts w:ascii="Times New Roman" w:eastAsia="宋体" w:hAnsi="Times New Roman" w:cs="Times New Roman" w:hint="eastAsia"/>
          <w:color w:val="333333"/>
          <w:kern w:val="0"/>
          <w:sz w:val="24"/>
          <w:szCs w:val="24"/>
        </w:rPr>
        <w:t>3</w:t>
      </w:r>
      <w:r w:rsidRPr="00FA365C">
        <w:rPr>
          <w:rFonts w:ascii="Times New Roman" w:eastAsia="宋体" w:hAnsi="Times New Roman" w:cs="Times New Roman"/>
          <w:color w:val="333333"/>
          <w:kern w:val="0"/>
          <w:sz w:val="24"/>
          <w:szCs w:val="24"/>
        </w:rPr>
        <w:t>0 -</w:t>
      </w:r>
      <w:r w:rsidR="0046509C">
        <w:rPr>
          <w:rFonts w:ascii="Times New Roman" w:eastAsia="宋体" w:hAnsi="Times New Roman" w:cs="Times New Roman" w:hint="eastAsia"/>
          <w:color w:val="333333"/>
          <w:kern w:val="0"/>
          <w:sz w:val="24"/>
          <w:szCs w:val="24"/>
        </w:rPr>
        <w:t>3</w:t>
      </w:r>
      <w:r w:rsidR="008F1A2A">
        <w:rPr>
          <w:rFonts w:ascii="Times New Roman" w:eastAsia="宋体" w:hAnsi="宋体" w:cs="Times New Roman" w:hint="eastAsia"/>
          <w:color w:val="333333"/>
          <w:kern w:val="0"/>
          <w:sz w:val="24"/>
          <w:szCs w:val="24"/>
        </w:rPr>
        <w:t xml:space="preserve">: </w:t>
      </w:r>
      <w:r w:rsidR="0046509C">
        <w:rPr>
          <w:rFonts w:ascii="Times New Roman" w:eastAsia="宋体" w:hAnsi="Times New Roman" w:cs="Times New Roman" w:hint="eastAsia"/>
          <w:color w:val="333333"/>
          <w:kern w:val="0"/>
          <w:sz w:val="24"/>
          <w:szCs w:val="24"/>
        </w:rPr>
        <w:t>3</w:t>
      </w:r>
      <w:r w:rsidRPr="00FA365C">
        <w:rPr>
          <w:rFonts w:ascii="Times New Roman" w:eastAsia="宋体" w:hAnsi="Times New Roman" w:cs="Times New Roman"/>
          <w:color w:val="333333"/>
          <w:kern w:val="0"/>
          <w:sz w:val="24"/>
          <w:szCs w:val="24"/>
        </w:rPr>
        <w:t>0</w:t>
      </w:r>
    </w:p>
    <w:p w:rsidR="00FA365C" w:rsidRPr="00FA365C" w:rsidRDefault="00FA365C" w:rsidP="00FA365C">
      <w:pPr>
        <w:widowControl/>
        <w:spacing w:before="100" w:beforeAutospacing="1" w:after="100" w:afterAutospacing="1" w:line="360" w:lineRule="atLeast"/>
        <w:jc w:val="left"/>
        <w:rPr>
          <w:rFonts w:ascii="宋体" w:eastAsia="宋体" w:hAnsi="宋体" w:cs="宋体"/>
          <w:color w:val="333333"/>
          <w:kern w:val="0"/>
          <w:sz w:val="24"/>
          <w:szCs w:val="24"/>
        </w:rPr>
      </w:pPr>
      <w:r w:rsidRPr="00FA365C">
        <w:rPr>
          <w:rFonts w:ascii="楷体_GB2312" w:eastAsia="楷体_GB2312" w:hAnsi="宋体" w:cs="宋体" w:hint="eastAsia"/>
          <w:b/>
          <w:bCs/>
          <w:color w:val="333333"/>
          <w:kern w:val="0"/>
          <w:sz w:val="24"/>
          <w:szCs w:val="24"/>
        </w:rPr>
        <w:t>地点</w:t>
      </w:r>
      <w:r w:rsidRPr="00FA365C">
        <w:rPr>
          <w:rFonts w:ascii="楷体_GB2312" w:eastAsia="楷体_GB2312" w:hAnsi="宋体" w:cs="宋体" w:hint="eastAsia"/>
          <w:color w:val="333333"/>
          <w:kern w:val="0"/>
          <w:sz w:val="24"/>
          <w:szCs w:val="24"/>
        </w:rPr>
        <w:t>：博萃楼</w:t>
      </w:r>
      <w:r w:rsidR="0097710B" w:rsidRPr="0097710B">
        <w:rPr>
          <w:rFonts w:ascii="Times New Roman" w:eastAsia="楷体_GB2312" w:hAnsi="Times New Roman" w:cs="Times New Roman"/>
          <w:color w:val="333333"/>
          <w:kern w:val="0"/>
          <w:sz w:val="24"/>
          <w:szCs w:val="24"/>
        </w:rPr>
        <w:t>4</w:t>
      </w:r>
      <w:r w:rsidR="0097710B">
        <w:rPr>
          <w:rFonts w:ascii="楷体_GB2312" w:eastAsia="楷体_GB2312" w:hAnsi="宋体" w:cs="宋体" w:hint="eastAsia"/>
          <w:color w:val="333333"/>
          <w:kern w:val="0"/>
          <w:sz w:val="24"/>
          <w:szCs w:val="24"/>
        </w:rPr>
        <w:t>楼</w:t>
      </w:r>
      <w:r w:rsidRPr="00FA365C">
        <w:rPr>
          <w:rFonts w:ascii="楷体_GB2312" w:eastAsia="楷体_GB2312" w:hAnsi="宋体" w:cs="宋体" w:hint="eastAsia"/>
          <w:color w:val="333333"/>
          <w:kern w:val="0"/>
          <w:sz w:val="24"/>
          <w:szCs w:val="24"/>
        </w:rPr>
        <w:t>阳光房</w:t>
      </w:r>
      <w:r w:rsidRPr="00FA365C">
        <w:rPr>
          <w:rFonts w:ascii="宋体" w:eastAsia="宋体" w:hAnsi="宋体" w:cs="宋体"/>
          <w:color w:val="333333"/>
          <w:kern w:val="0"/>
          <w:sz w:val="24"/>
          <w:szCs w:val="24"/>
        </w:rPr>
        <w:t xml:space="preserve"> </w:t>
      </w:r>
    </w:p>
    <w:p w:rsidR="00CF6609" w:rsidRPr="00265EE2" w:rsidRDefault="00FA365C" w:rsidP="00265EE2">
      <w:pPr>
        <w:widowControl/>
        <w:spacing w:before="100" w:beforeAutospacing="1" w:after="100" w:afterAutospacing="1" w:line="360" w:lineRule="atLeast"/>
        <w:jc w:val="left"/>
        <w:rPr>
          <w:rFonts w:ascii="宋体" w:eastAsia="宋体" w:hAnsi="宋体" w:cs="宋体"/>
          <w:color w:val="333333"/>
          <w:kern w:val="0"/>
          <w:sz w:val="24"/>
          <w:szCs w:val="24"/>
        </w:rPr>
      </w:pPr>
      <w:r w:rsidRPr="00FA365C">
        <w:rPr>
          <w:rFonts w:ascii="楷体_GB2312" w:eastAsia="楷体_GB2312" w:hAnsi="宋体" w:cs="宋体" w:hint="eastAsia"/>
          <w:b/>
          <w:bCs/>
          <w:color w:val="333333"/>
          <w:kern w:val="0"/>
          <w:sz w:val="24"/>
          <w:szCs w:val="24"/>
        </w:rPr>
        <w:t>论文：</w:t>
      </w:r>
      <w:r w:rsidRPr="00FA365C">
        <w:rPr>
          <w:rFonts w:ascii="楷体_GB2312" w:eastAsia="楷体_GB2312" w:hAnsi="宋体" w:cs="宋体" w:hint="eastAsia"/>
          <w:color w:val="333333"/>
          <w:kern w:val="0"/>
          <w:sz w:val="24"/>
          <w:szCs w:val="24"/>
        </w:rPr>
        <w:t>学院内网</w:t>
      </w:r>
      <w:r w:rsidRPr="00FA365C">
        <w:rPr>
          <w:rFonts w:ascii="宋体" w:eastAsia="宋体" w:hAnsi="宋体" w:cs="宋体"/>
          <w:color w:val="333333"/>
          <w:kern w:val="0"/>
          <w:sz w:val="24"/>
          <w:szCs w:val="24"/>
        </w:rPr>
        <w:t xml:space="preserve"> </w:t>
      </w:r>
    </w:p>
    <w:p w:rsidR="00FF3382" w:rsidRPr="000E5CC3" w:rsidRDefault="00D97F07" w:rsidP="00FF3382">
      <w:pPr>
        <w:widowControl/>
        <w:spacing w:line="400" w:lineRule="exact"/>
        <w:rPr>
          <w:rFonts w:ascii="楷体_GB2312" w:eastAsia="楷体_GB2312" w:hAnsi="宋体" w:cs="宋体"/>
          <w:b/>
          <w:color w:val="333333"/>
          <w:szCs w:val="21"/>
        </w:rPr>
      </w:pPr>
      <w:r w:rsidRPr="000E5CC3">
        <w:rPr>
          <w:rFonts w:ascii="楷体_GB2312" w:eastAsia="楷体_GB2312" w:hAnsi="宋体" w:cs="宋体" w:hint="eastAsia"/>
          <w:b/>
          <w:color w:val="333333"/>
          <w:szCs w:val="21"/>
        </w:rPr>
        <w:t>论文摘要</w:t>
      </w:r>
      <w:bookmarkStart w:id="0" w:name="OLE_LINK9"/>
      <w:bookmarkStart w:id="1" w:name="OLE_LINK12"/>
    </w:p>
    <w:bookmarkEnd w:id="0"/>
    <w:bookmarkEnd w:id="1"/>
    <w:p w:rsidR="000E5CC3" w:rsidRPr="000E5CC3" w:rsidRDefault="000E5CC3" w:rsidP="000E5CC3">
      <w:pPr>
        <w:autoSpaceDE w:val="0"/>
        <w:autoSpaceDN w:val="0"/>
        <w:adjustRightInd w:val="0"/>
        <w:rPr>
          <w:rFonts w:ascii="Times New Roman" w:hAnsi="Times New Roman" w:cs="Times New Roman"/>
          <w:kern w:val="0"/>
          <w:szCs w:val="21"/>
        </w:rPr>
      </w:pPr>
      <w:r w:rsidRPr="000E5CC3">
        <w:rPr>
          <w:rFonts w:ascii="Times New Roman" w:hAnsi="Times New Roman" w:cs="Times New Roman"/>
          <w:kern w:val="0"/>
          <w:szCs w:val="21"/>
        </w:rPr>
        <w:t>We develop and test a hypothesis that hedge-fund managers who respond to and capitalize on the changing political environment around Presidential elections are better skilled. We find that hedge funds, on average, trade in anticipation of the presidential election outcome, and adjust the political sensitivity of their portfolio accordingly. Managers who adjust their portfolio political sensitivity most successfully generate significantly higher alpha than those that are least successful in their adjustments. The significant superior performance by these funds persists for about a year. We also find that these funds are more likely to survive over the following two years. Our evidence suggests that hedge funds’ anticipation and response to Presidential elections indicate managerial skill and can successfully predict future fund performance.</w:t>
      </w:r>
    </w:p>
    <w:p w:rsidR="0097710B" w:rsidRPr="000E5CC3" w:rsidRDefault="0097710B" w:rsidP="009302AE">
      <w:pPr>
        <w:autoSpaceDE w:val="0"/>
        <w:autoSpaceDN w:val="0"/>
        <w:adjustRightInd w:val="0"/>
        <w:spacing w:line="400" w:lineRule="exact"/>
        <w:rPr>
          <w:rFonts w:ascii="CMR10" w:hAnsi="CMR10" w:cs="CMR10"/>
          <w:kern w:val="0"/>
          <w:sz w:val="22"/>
        </w:rPr>
      </w:pPr>
    </w:p>
    <w:p w:rsidR="00FF3382" w:rsidRPr="000E5CC3" w:rsidRDefault="00761EF6" w:rsidP="000E5CC3">
      <w:pPr>
        <w:widowControl/>
        <w:spacing w:line="400" w:lineRule="exact"/>
        <w:rPr>
          <w:rFonts w:ascii="楷体_GB2312" w:eastAsia="楷体_GB2312" w:hAnsi="宋体" w:cs="宋体"/>
          <w:b/>
          <w:color w:val="333333"/>
          <w:szCs w:val="21"/>
        </w:rPr>
      </w:pPr>
      <w:r w:rsidRPr="000E5CC3">
        <w:rPr>
          <w:rFonts w:ascii="楷体_GB2312" w:eastAsia="楷体_GB2312" w:hAnsi="宋体" w:cs="宋体"/>
          <w:b/>
          <w:color w:val="333333"/>
          <w:szCs w:val="21"/>
        </w:rPr>
        <w:t>报告人简介</w:t>
      </w:r>
    </w:p>
    <w:p w:rsidR="00DD31BC" w:rsidRPr="000E5CC3" w:rsidRDefault="000E5CC3" w:rsidP="000E5CC3">
      <w:pPr>
        <w:widowControl/>
        <w:rPr>
          <w:rStyle w:val="apple-converted-space"/>
          <w:rFonts w:ascii="Times New Roman" w:hAnsi="Times New Roman" w:cs="Times New Roman"/>
          <w:kern w:val="0"/>
          <w:szCs w:val="21"/>
        </w:rPr>
      </w:pPr>
      <w:r w:rsidRPr="000E5CC3">
        <w:rPr>
          <w:rFonts w:ascii="Times New Roman" w:hAnsi="Times New Roman" w:cs="Times New Roman"/>
          <w:color w:val="000000"/>
          <w:szCs w:val="21"/>
          <w:shd w:val="clear" w:color="auto" w:fill="FFFFFF"/>
        </w:rPr>
        <w:t xml:space="preserve">Honghui Chen is </w:t>
      </w:r>
      <w:r w:rsidRPr="000E5CC3">
        <w:rPr>
          <w:rFonts w:ascii="Times New Roman" w:hAnsi="Times New Roman" w:cs="Times New Roman"/>
          <w:kern w:val="0"/>
          <w:szCs w:val="21"/>
        </w:rPr>
        <w:t>SunTrust Professor of Finance</w:t>
      </w:r>
      <w:r w:rsidRPr="000E5CC3">
        <w:rPr>
          <w:rFonts w:ascii="Times New Roman" w:hAnsi="Times New Roman" w:cs="Times New Roman"/>
          <w:color w:val="000000"/>
          <w:szCs w:val="21"/>
          <w:shd w:val="clear" w:color="auto" w:fill="FFFFFF"/>
        </w:rPr>
        <w:t xml:space="preserve"> at the University of Central Florida. He received his Ph.D. in finance from the Pamplin College of Business at Virginia Tech in 1999. His research focuses on market seasonality, short sales, and market microstructure. He has published in the Journal of Finance, </w:t>
      </w:r>
      <w:r w:rsidRPr="000E5CC3">
        <w:rPr>
          <w:rFonts w:ascii="Times New Roman" w:hAnsi="Times New Roman" w:cs="Times New Roman"/>
          <w:iCs/>
          <w:kern w:val="0"/>
          <w:szCs w:val="21"/>
        </w:rPr>
        <w:t>Journal of</w:t>
      </w:r>
      <w:r>
        <w:rPr>
          <w:rFonts w:ascii="Times New Roman" w:hAnsi="Times New Roman" w:cs="Times New Roman" w:hint="eastAsia"/>
          <w:iCs/>
          <w:kern w:val="0"/>
          <w:szCs w:val="21"/>
        </w:rPr>
        <w:t xml:space="preserve"> </w:t>
      </w:r>
      <w:r w:rsidRPr="000E5CC3">
        <w:rPr>
          <w:rFonts w:ascii="Times New Roman" w:hAnsi="Times New Roman" w:cs="Times New Roman"/>
          <w:iCs/>
          <w:kern w:val="0"/>
          <w:szCs w:val="21"/>
        </w:rPr>
        <w:t>Financial Economics</w:t>
      </w:r>
      <w:r>
        <w:rPr>
          <w:rFonts w:ascii="Times New Roman" w:hAnsi="Times New Roman" w:cs="Times New Roman" w:hint="eastAsia"/>
          <w:i/>
          <w:iCs/>
          <w:kern w:val="0"/>
          <w:szCs w:val="21"/>
        </w:rPr>
        <w:t xml:space="preserve">, </w:t>
      </w:r>
      <w:r w:rsidRPr="000E5CC3">
        <w:rPr>
          <w:rFonts w:ascii="Times New Roman" w:hAnsi="Times New Roman" w:cs="Times New Roman"/>
          <w:color w:val="000000"/>
          <w:szCs w:val="21"/>
          <w:shd w:val="clear" w:color="auto" w:fill="FFFFFF"/>
        </w:rPr>
        <w:t>the Journal of Financial and Quantatitive Analysis, the Journal of Financial Research, and the Financial Analysts Journal, among others. His research has been quoted in the New York Times, Baron’s, and Forbes.</w:t>
      </w:r>
      <w:r w:rsidRPr="000E5CC3">
        <w:rPr>
          <w:rStyle w:val="apple-converted-space"/>
          <w:rFonts w:ascii="Times New Roman" w:hAnsi="Times New Roman" w:cs="Times New Roman"/>
          <w:color w:val="000000"/>
          <w:szCs w:val="21"/>
          <w:shd w:val="clear" w:color="auto" w:fill="FFFFFF"/>
        </w:rPr>
        <w:t> </w:t>
      </w:r>
    </w:p>
    <w:p w:rsidR="000E5CC3" w:rsidRPr="000E5CC3" w:rsidRDefault="000E5CC3" w:rsidP="00FF3382">
      <w:pPr>
        <w:autoSpaceDE w:val="0"/>
        <w:autoSpaceDN w:val="0"/>
        <w:adjustRightInd w:val="0"/>
        <w:spacing w:line="400" w:lineRule="exact"/>
        <w:rPr>
          <w:rFonts w:ascii="楷体_GB2312" w:eastAsia="楷体_GB2312" w:hAnsi="Tahoma" w:cs="Times New Roman"/>
          <w:color w:val="000000"/>
          <w:szCs w:val="21"/>
          <w:bdr w:val="none" w:sz="0" w:space="0" w:color="auto" w:frame="1"/>
          <w:shd w:val="clear" w:color="auto" w:fill="FFFFFF"/>
        </w:rPr>
      </w:pPr>
    </w:p>
    <w:p w:rsidR="00DD31BC" w:rsidRPr="000E5CC3" w:rsidRDefault="00DD31BC" w:rsidP="00FF3382">
      <w:pPr>
        <w:spacing w:line="400" w:lineRule="exact"/>
        <w:rPr>
          <w:rFonts w:ascii="楷体_GB2312" w:eastAsia="楷体_GB2312" w:hAnsi="宋体"/>
          <w:b/>
        </w:rPr>
      </w:pPr>
      <w:r w:rsidRPr="000E5CC3">
        <w:rPr>
          <w:rFonts w:ascii="楷体_GB2312" w:eastAsia="楷体_GB2312" w:hAnsi="宋体" w:hint="eastAsia"/>
          <w:b/>
        </w:rPr>
        <w:t>代表</w:t>
      </w:r>
      <w:r w:rsidR="00EA6BB5" w:rsidRPr="000E5CC3">
        <w:rPr>
          <w:rFonts w:ascii="楷体_GB2312" w:eastAsia="楷体_GB2312" w:hAnsi="宋体" w:hint="eastAsia"/>
          <w:b/>
        </w:rPr>
        <w:t>性论文</w:t>
      </w:r>
    </w:p>
    <w:p w:rsidR="000E5CC3" w:rsidRPr="000E5CC3" w:rsidRDefault="000E5CC3" w:rsidP="00DC3EC9">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bdr w:val="none" w:sz="0" w:space="0" w:color="auto" w:frame="1"/>
        </w:rPr>
        <w:t>1.</w:t>
      </w:r>
      <w:r w:rsidRPr="000E5CC3">
        <w:rPr>
          <w:rFonts w:ascii="Times New Roman" w:eastAsia="宋体" w:hAnsi="Times New Roman" w:cs="Times New Roman"/>
          <w:color w:val="000000"/>
          <w:kern w:val="0"/>
          <w:szCs w:val="21"/>
          <w:bdr w:val="none" w:sz="0" w:space="0" w:color="auto" w:frame="1"/>
        </w:rPr>
        <w:t>Chen, Honghui, Vijay Singal, and</w:t>
      </w:r>
      <w:r w:rsidRPr="000E5CC3">
        <w:rPr>
          <w:rFonts w:ascii="Times New Roman" w:eastAsia="宋体" w:hAnsi="Times New Roman" w:cs="Times New Roman"/>
          <w:color w:val="000000"/>
          <w:kern w:val="0"/>
          <w:szCs w:val="21"/>
        </w:rPr>
        <w:t> </w:t>
      </w:r>
      <w:r w:rsidRPr="000E5CC3">
        <w:rPr>
          <w:rFonts w:ascii="Times New Roman" w:eastAsia="宋体" w:hAnsi="Times New Roman" w:cs="Times New Roman"/>
          <w:color w:val="000000"/>
          <w:kern w:val="0"/>
          <w:szCs w:val="21"/>
          <w:bdr w:val="none" w:sz="0" w:space="0" w:color="auto" w:frame="1"/>
        </w:rPr>
        <w:t>Robert F. Whitelaw,</w:t>
      </w:r>
      <w:r w:rsidRPr="000E5CC3">
        <w:rPr>
          <w:rFonts w:ascii="Times New Roman" w:eastAsia="宋体" w:hAnsi="Times New Roman" w:cs="Times New Roman"/>
          <w:color w:val="000000"/>
          <w:kern w:val="0"/>
          <w:szCs w:val="21"/>
        </w:rPr>
        <w:t> </w:t>
      </w:r>
      <w:r w:rsidRPr="000E5CC3">
        <w:rPr>
          <w:rFonts w:ascii="Times New Roman" w:eastAsia="宋体" w:hAnsi="Times New Roman" w:cs="Times New Roman"/>
          <w:color w:val="000000"/>
          <w:kern w:val="0"/>
          <w:szCs w:val="21"/>
          <w:bdr w:val="none" w:sz="0" w:space="0" w:color="auto" w:frame="1"/>
        </w:rPr>
        <w:t>2016. “Comovement Revisited”.</w:t>
      </w:r>
      <w:r w:rsidRPr="000E5CC3">
        <w:rPr>
          <w:rFonts w:ascii="Times New Roman" w:eastAsia="宋体" w:hAnsi="Times New Roman" w:cs="Times New Roman"/>
          <w:color w:val="000000"/>
          <w:kern w:val="0"/>
          <w:szCs w:val="21"/>
        </w:rPr>
        <w:t> </w:t>
      </w:r>
      <w:r w:rsidRPr="000E5CC3">
        <w:rPr>
          <w:rFonts w:ascii="Times New Roman" w:eastAsia="宋体" w:hAnsi="Times New Roman" w:cs="Times New Roman"/>
          <w:i/>
          <w:iCs/>
          <w:color w:val="000000"/>
          <w:kern w:val="0"/>
          <w:szCs w:val="21"/>
          <w:bdr w:val="none" w:sz="0" w:space="0" w:color="auto" w:frame="1"/>
        </w:rPr>
        <w:t>Journal of Financial Economics</w:t>
      </w:r>
      <w:r w:rsidRPr="000E5CC3">
        <w:rPr>
          <w:rFonts w:ascii="Times New Roman" w:eastAsia="宋体" w:hAnsi="Times New Roman" w:cs="Times New Roman"/>
          <w:color w:val="000000"/>
          <w:kern w:val="0"/>
          <w:szCs w:val="21"/>
        </w:rPr>
        <w:t> </w:t>
      </w:r>
      <w:r w:rsidRPr="000E5CC3">
        <w:rPr>
          <w:rFonts w:ascii="Times New Roman" w:eastAsia="宋体" w:hAnsi="Times New Roman" w:cs="Times New Roman"/>
          <w:color w:val="000000"/>
          <w:kern w:val="0"/>
          <w:szCs w:val="21"/>
          <w:bdr w:val="none" w:sz="0" w:space="0" w:color="auto" w:frame="1"/>
        </w:rPr>
        <w:t>121 (3), 624-644.</w:t>
      </w:r>
    </w:p>
    <w:p w:rsidR="000E5CC3" w:rsidRPr="00BC50B2" w:rsidRDefault="000E5CC3" w:rsidP="00DC3EC9">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bdr w:val="none" w:sz="0" w:space="0" w:color="auto" w:frame="1"/>
        </w:rPr>
        <w:t>2.</w:t>
      </w:r>
      <w:r w:rsidRPr="00BC50B2">
        <w:rPr>
          <w:rFonts w:ascii="Times New Roman" w:eastAsia="宋体" w:hAnsi="Times New Roman" w:cs="Times New Roman"/>
          <w:color w:val="000000"/>
          <w:kern w:val="0"/>
          <w:szCs w:val="21"/>
          <w:bdr w:val="none" w:sz="0" w:space="0" w:color="auto" w:frame="1"/>
        </w:rPr>
        <w:t>Chen, Honghui, Hemang Desai, and Srinivasan Krishnamurthy, 2013. “A First Look at Mutual Funds that Use Short Sales”,</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i/>
          <w:iCs/>
          <w:color w:val="000000"/>
          <w:kern w:val="0"/>
          <w:szCs w:val="21"/>
          <w:bdr w:val="none" w:sz="0" w:space="0" w:color="auto" w:frame="1"/>
        </w:rPr>
        <w:t>Journal of Financial and Quantitative Analysis</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48 (3), 761-787.</w:t>
      </w:r>
    </w:p>
    <w:p w:rsidR="000E5CC3" w:rsidRPr="00BC50B2" w:rsidRDefault="000E5CC3" w:rsidP="00DC3EC9">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bdr w:val="none" w:sz="0" w:space="0" w:color="auto" w:frame="1"/>
        </w:rPr>
        <w:t>3.</w:t>
      </w:r>
      <w:r w:rsidRPr="00BC50B2">
        <w:rPr>
          <w:rFonts w:ascii="Times New Roman" w:eastAsia="宋体" w:hAnsi="Times New Roman" w:cs="Times New Roman"/>
          <w:color w:val="000000"/>
          <w:kern w:val="0"/>
          <w:szCs w:val="21"/>
          <w:bdr w:val="none" w:sz="0" w:space="0" w:color="auto" w:frame="1"/>
        </w:rPr>
        <w:t>Chen, Honghui, David H. Downs, and Gary A. Patterson, 2012. </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“The Information Content of REIT Short Interest: Investment Focus and Heterogeneous Beliefs”,</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i/>
          <w:iCs/>
          <w:color w:val="000000"/>
          <w:kern w:val="0"/>
          <w:szCs w:val="21"/>
          <w:bdr w:val="none" w:sz="0" w:space="0" w:color="auto" w:frame="1"/>
        </w:rPr>
        <w:t>Real Estate Economics</w:t>
      </w:r>
      <w:r w:rsidRPr="000E5CC3">
        <w:rPr>
          <w:rFonts w:ascii="Times New Roman" w:eastAsia="宋体" w:hAnsi="Times New Roman" w:cs="Times New Roman"/>
          <w:i/>
          <w:iCs/>
          <w:color w:val="000000"/>
          <w:kern w:val="0"/>
          <w:szCs w:val="21"/>
        </w:rPr>
        <w:t> </w:t>
      </w:r>
      <w:r w:rsidRPr="00BC50B2">
        <w:rPr>
          <w:rFonts w:ascii="Times New Roman" w:eastAsia="宋体" w:hAnsi="Times New Roman" w:cs="Times New Roman"/>
          <w:color w:val="000000"/>
          <w:kern w:val="0"/>
          <w:szCs w:val="21"/>
          <w:bdr w:val="none" w:sz="0" w:space="0" w:color="auto" w:frame="1"/>
        </w:rPr>
        <w:t>40 (2), 249-283.</w:t>
      </w:r>
    </w:p>
    <w:p w:rsidR="000E5CC3" w:rsidRDefault="000E5CC3" w:rsidP="00DC3EC9">
      <w:pPr>
        <w:widowControl/>
        <w:spacing w:line="320" w:lineRule="exact"/>
        <w:rPr>
          <w:rFonts w:ascii="Times New Roman" w:eastAsia="宋体" w:hAnsi="Times New Roman" w:cs="Times New Roman"/>
          <w:color w:val="000000"/>
          <w:kern w:val="0"/>
          <w:szCs w:val="21"/>
          <w:bdr w:val="none" w:sz="0" w:space="0" w:color="auto" w:frame="1"/>
        </w:rPr>
      </w:pPr>
      <w:r>
        <w:rPr>
          <w:rFonts w:ascii="Times New Roman" w:eastAsia="宋体" w:hAnsi="Times New Roman" w:cs="Times New Roman" w:hint="eastAsia"/>
          <w:color w:val="000000"/>
          <w:kern w:val="0"/>
          <w:szCs w:val="21"/>
          <w:bdr w:val="none" w:sz="0" w:space="0" w:color="auto" w:frame="1"/>
        </w:rPr>
        <w:lastRenderedPageBreak/>
        <w:t>4.</w:t>
      </w:r>
      <w:r w:rsidRPr="00BC50B2">
        <w:rPr>
          <w:rFonts w:ascii="Times New Roman" w:eastAsia="宋体" w:hAnsi="Times New Roman" w:cs="Times New Roman"/>
          <w:color w:val="000000"/>
          <w:kern w:val="0"/>
          <w:szCs w:val="21"/>
          <w:bdr w:val="none" w:sz="0" w:space="0" w:color="auto" w:frame="1"/>
        </w:rPr>
        <w:t>Chen, Honghui, Hoang Huy Nguyen, and Vijay Singal, 2011. </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“The Information Content of Stock Splits”,</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i/>
          <w:iCs/>
          <w:color w:val="000000"/>
          <w:kern w:val="0"/>
          <w:szCs w:val="21"/>
          <w:bdr w:val="none" w:sz="0" w:space="0" w:color="auto" w:frame="1"/>
        </w:rPr>
        <w:t>Journal of Banking and Finance</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35(9), 2454-2467.</w:t>
      </w:r>
    </w:p>
    <w:p w:rsidR="000E5CC3" w:rsidRPr="00BC50B2" w:rsidRDefault="000E5CC3" w:rsidP="00DC3EC9">
      <w:pPr>
        <w:widowControl/>
        <w:spacing w:line="320" w:lineRule="exact"/>
        <w:rPr>
          <w:rFonts w:ascii="Times New Roman" w:eastAsia="宋体" w:hAnsi="Times New Roman" w:cs="Times New Roman"/>
          <w:color w:val="000000"/>
          <w:kern w:val="0"/>
          <w:szCs w:val="21"/>
        </w:rPr>
      </w:pPr>
      <w:r w:rsidRPr="000E5CC3">
        <w:rPr>
          <w:rFonts w:ascii="Times New Roman" w:eastAsia="宋体" w:hAnsi="Times New Roman" w:cs="Times New Roman"/>
          <w:color w:val="000000"/>
          <w:kern w:val="0"/>
          <w:szCs w:val="21"/>
          <w:bdr w:val="none" w:sz="0" w:space="0" w:color="auto" w:frame="1"/>
        </w:rPr>
        <w:t>5.</w:t>
      </w:r>
      <w:r w:rsidRPr="00BC50B2">
        <w:rPr>
          <w:rFonts w:ascii="Times New Roman" w:eastAsia="宋体" w:hAnsi="Times New Roman" w:cs="Times New Roman"/>
          <w:color w:val="000000"/>
          <w:kern w:val="0"/>
          <w:szCs w:val="21"/>
          <w:bdr w:val="none" w:sz="0" w:space="0" w:color="auto" w:frame="1"/>
        </w:rPr>
        <w:t>Chen, Honghui, Joel N Morse, and Hoang Huy Nguyen, 2009.</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 “Changes in the Liquidity of Closed-end Country Funds after the Introduction of World Equity Benchmarks”,</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i/>
          <w:iCs/>
          <w:color w:val="000000"/>
          <w:kern w:val="0"/>
          <w:szCs w:val="21"/>
          <w:bdr w:val="none" w:sz="0" w:space="0" w:color="auto" w:frame="1"/>
        </w:rPr>
        <w:t>The Quarterly Review of Economics and Finance</w:t>
      </w:r>
      <w:r w:rsidRPr="000E5CC3">
        <w:rPr>
          <w:rFonts w:ascii="Times New Roman" w:eastAsia="宋体" w:hAnsi="Times New Roman" w:cs="Times New Roman"/>
          <w:i/>
          <w:iCs/>
          <w:color w:val="000000"/>
          <w:kern w:val="0"/>
          <w:szCs w:val="21"/>
        </w:rPr>
        <w:t> </w:t>
      </w:r>
      <w:r w:rsidRPr="00BC50B2">
        <w:rPr>
          <w:rFonts w:ascii="Times New Roman" w:eastAsia="宋体" w:hAnsi="Times New Roman" w:cs="Times New Roman"/>
          <w:color w:val="000000"/>
          <w:kern w:val="0"/>
          <w:szCs w:val="21"/>
          <w:bdr w:val="none" w:sz="0" w:space="0" w:color="auto" w:frame="1"/>
        </w:rPr>
        <w:t>49(3), 1081-1094.</w:t>
      </w:r>
    </w:p>
    <w:p w:rsidR="000E5CC3" w:rsidRPr="00BC50B2" w:rsidRDefault="000E5CC3" w:rsidP="00DC3EC9">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bdr w:val="none" w:sz="0" w:space="0" w:color="auto" w:frame="1"/>
        </w:rPr>
        <w:t>6.</w:t>
      </w:r>
      <w:r w:rsidRPr="00BC50B2">
        <w:rPr>
          <w:rFonts w:ascii="Times New Roman" w:eastAsia="宋体" w:hAnsi="Times New Roman" w:cs="Times New Roman"/>
          <w:color w:val="000000"/>
          <w:kern w:val="0"/>
          <w:szCs w:val="21"/>
          <w:bdr w:val="none" w:sz="0" w:space="0" w:color="auto" w:frame="1"/>
        </w:rPr>
        <w:t>Chen, Honghui, Gregory Noronha, and Vijay Singal, 2006.</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 “Index Changes and Losses to Index Fund Investors",</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i/>
          <w:iCs/>
          <w:color w:val="000000"/>
          <w:kern w:val="0"/>
          <w:szCs w:val="21"/>
          <w:bdr w:val="none" w:sz="0" w:space="0" w:color="auto" w:frame="1"/>
        </w:rPr>
        <w:t>Financial Analysts Journal</w:t>
      </w:r>
      <w:r w:rsidRPr="000E5CC3">
        <w:rPr>
          <w:rFonts w:ascii="Times New Roman" w:eastAsia="宋体" w:hAnsi="Times New Roman" w:cs="Times New Roman"/>
          <w:i/>
          <w:iCs/>
          <w:color w:val="000000"/>
          <w:kern w:val="0"/>
          <w:szCs w:val="21"/>
        </w:rPr>
        <w:t> </w:t>
      </w:r>
      <w:r w:rsidRPr="00BC50B2">
        <w:rPr>
          <w:rFonts w:ascii="Times New Roman" w:eastAsia="宋体" w:hAnsi="Times New Roman" w:cs="Times New Roman"/>
          <w:color w:val="000000"/>
          <w:kern w:val="0"/>
          <w:szCs w:val="21"/>
          <w:bdr w:val="none" w:sz="0" w:space="0" w:color="auto" w:frame="1"/>
        </w:rPr>
        <w:t>62 (4), 31-47.</w:t>
      </w:r>
    </w:p>
    <w:p w:rsidR="000E5CC3" w:rsidRPr="00BC50B2" w:rsidRDefault="000E5CC3" w:rsidP="00DC3EC9">
      <w:pPr>
        <w:widowControl/>
        <w:spacing w:line="320" w:lineRule="exact"/>
        <w:rPr>
          <w:rFonts w:ascii="Times New Roman" w:eastAsia="宋体" w:hAnsi="Times New Roman" w:cs="Times New Roman"/>
          <w:color w:val="000000"/>
          <w:kern w:val="0"/>
          <w:szCs w:val="21"/>
        </w:rPr>
      </w:pPr>
      <w:r w:rsidRPr="00BC50B2">
        <w:rPr>
          <w:rFonts w:ascii="Times New Roman" w:eastAsia="宋体" w:hAnsi="Times New Roman" w:cs="Times New Roman"/>
          <w:color w:val="000000"/>
          <w:kern w:val="0"/>
          <w:szCs w:val="21"/>
          <w:bdr w:val="none" w:sz="0" w:space="0" w:color="auto" w:frame="1"/>
        </w:rPr>
        <w:t>·  </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Abstracted in CFA Digest,</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November 2006, 91-92.</w:t>
      </w:r>
    </w:p>
    <w:p w:rsidR="000E5CC3" w:rsidRPr="00BC50B2" w:rsidRDefault="000E5CC3" w:rsidP="00DC3EC9">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bdr w:val="none" w:sz="0" w:space="0" w:color="auto" w:frame="1"/>
        </w:rPr>
        <w:t>7.</w:t>
      </w:r>
      <w:r w:rsidRPr="00BC50B2">
        <w:rPr>
          <w:rFonts w:ascii="Times New Roman" w:eastAsia="宋体" w:hAnsi="Times New Roman" w:cs="Times New Roman"/>
          <w:color w:val="000000"/>
          <w:kern w:val="0"/>
          <w:szCs w:val="21"/>
          <w:bdr w:val="none" w:sz="0" w:space="0" w:color="auto" w:frame="1"/>
        </w:rPr>
        <w:t>Chen, Honghui, Gregory Noronha, and Vijay Singal, 2006.</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 “S&amp;P 500 Index Changes and Investor Awareness”,</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i/>
          <w:iCs/>
          <w:color w:val="000000"/>
          <w:kern w:val="0"/>
          <w:szCs w:val="21"/>
          <w:bdr w:val="none" w:sz="0" w:space="0" w:color="auto" w:frame="1"/>
        </w:rPr>
        <w:t>Journal of Investment Management</w:t>
      </w:r>
      <w:r w:rsidRPr="000E5CC3">
        <w:rPr>
          <w:rFonts w:ascii="Times New Roman" w:eastAsia="宋体" w:hAnsi="Times New Roman" w:cs="Times New Roman"/>
          <w:i/>
          <w:iCs/>
          <w:color w:val="000000"/>
          <w:kern w:val="0"/>
          <w:szCs w:val="21"/>
        </w:rPr>
        <w:t> </w:t>
      </w:r>
      <w:r w:rsidRPr="00BC50B2">
        <w:rPr>
          <w:rFonts w:ascii="Times New Roman" w:eastAsia="宋体" w:hAnsi="Times New Roman" w:cs="Times New Roman"/>
          <w:color w:val="000000"/>
          <w:kern w:val="0"/>
          <w:szCs w:val="21"/>
          <w:bdr w:val="none" w:sz="0" w:space="0" w:color="auto" w:frame="1"/>
        </w:rPr>
        <w:t>4 (2)</w:t>
      </w:r>
      <w:r w:rsidRPr="00BC50B2">
        <w:rPr>
          <w:rFonts w:ascii="Times New Roman" w:eastAsia="宋体" w:hAnsi="Times New Roman" w:cs="Times New Roman"/>
          <w:i/>
          <w:iCs/>
          <w:color w:val="000000"/>
          <w:kern w:val="0"/>
          <w:szCs w:val="21"/>
          <w:bdr w:val="none" w:sz="0" w:space="0" w:color="auto" w:frame="1"/>
        </w:rPr>
        <w:t>,</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23-37.</w:t>
      </w:r>
    </w:p>
    <w:p w:rsidR="000E5CC3" w:rsidRPr="00BC50B2" w:rsidRDefault="000E5CC3" w:rsidP="00DC3EC9">
      <w:pPr>
        <w:widowControl/>
        <w:spacing w:line="320" w:lineRule="exact"/>
        <w:rPr>
          <w:rFonts w:ascii="Times New Roman" w:eastAsia="宋体" w:hAnsi="Times New Roman" w:cs="Times New Roman"/>
          <w:color w:val="000000"/>
          <w:kern w:val="0"/>
          <w:szCs w:val="21"/>
        </w:rPr>
      </w:pPr>
      <w:r w:rsidRPr="00BC50B2">
        <w:rPr>
          <w:rFonts w:ascii="Times New Roman" w:eastAsia="宋体" w:hAnsi="Times New Roman" w:cs="Times New Roman"/>
          <w:color w:val="000000"/>
          <w:kern w:val="0"/>
          <w:szCs w:val="21"/>
          <w:bdr w:val="none" w:sz="0" w:space="0" w:color="auto" w:frame="1"/>
        </w:rPr>
        <w:t>·   Abstracted in CFA Digest, February 2007, 55-57.</w:t>
      </w:r>
    </w:p>
    <w:p w:rsidR="000E5CC3" w:rsidRPr="00BC50B2" w:rsidRDefault="000E5CC3" w:rsidP="00DC3EC9">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bdr w:val="none" w:sz="0" w:space="0" w:color="auto" w:frame="1"/>
        </w:rPr>
        <w:t>8.</w:t>
      </w:r>
      <w:r w:rsidRPr="00BC50B2">
        <w:rPr>
          <w:rFonts w:ascii="Times New Roman" w:eastAsia="宋体" w:hAnsi="Times New Roman" w:cs="Times New Roman"/>
          <w:color w:val="000000"/>
          <w:kern w:val="0"/>
          <w:szCs w:val="21"/>
          <w:bdr w:val="none" w:sz="0" w:space="0" w:color="auto" w:frame="1"/>
        </w:rPr>
        <w:t>Chen, Honghui, Gregory Noronha, and Vijay Singal, 2004.</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 “The Price Response to S&amp;P 500 Index Additions and Deletions: Evidence of Asymmetry and a New Explanation”,</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i/>
          <w:iCs/>
          <w:color w:val="000000"/>
          <w:kern w:val="0"/>
          <w:szCs w:val="21"/>
          <w:bdr w:val="none" w:sz="0" w:space="0" w:color="auto" w:frame="1"/>
        </w:rPr>
        <w:t>Journal of Finance</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59 (4), 1901-1929.</w:t>
      </w:r>
    </w:p>
    <w:p w:rsidR="000E5CC3" w:rsidRPr="00BC50B2" w:rsidRDefault="000E5CC3" w:rsidP="00DC3EC9">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bdr w:val="none" w:sz="0" w:space="0" w:color="auto" w:frame="1"/>
        </w:rPr>
        <w:t>9.</w:t>
      </w:r>
      <w:r w:rsidRPr="00BC50B2">
        <w:rPr>
          <w:rFonts w:ascii="Times New Roman" w:eastAsia="宋体" w:hAnsi="Times New Roman" w:cs="Times New Roman"/>
          <w:color w:val="000000"/>
          <w:kern w:val="0"/>
          <w:szCs w:val="21"/>
          <w:bdr w:val="none" w:sz="0" w:space="0" w:color="auto" w:frame="1"/>
        </w:rPr>
        <w:t>Chen, Honghui, and Vijay Singal, 2003.</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 “Role of Speculative Short Sales in Price Formation: Case of the Weekend Effect”,</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i/>
          <w:iCs/>
          <w:color w:val="000000"/>
          <w:kern w:val="0"/>
          <w:szCs w:val="21"/>
          <w:bdr w:val="none" w:sz="0" w:space="0" w:color="auto" w:frame="1"/>
        </w:rPr>
        <w:t>Journal of Finance</w:t>
      </w:r>
      <w:r w:rsidRPr="000E5CC3">
        <w:rPr>
          <w:rFonts w:ascii="Times New Roman" w:eastAsia="宋体" w:hAnsi="Times New Roman" w:cs="Times New Roman"/>
          <w:color w:val="000000"/>
          <w:kern w:val="0"/>
          <w:szCs w:val="21"/>
        </w:rPr>
        <w:t> </w:t>
      </w:r>
      <w:r w:rsidRPr="00BC50B2">
        <w:rPr>
          <w:rFonts w:ascii="Times New Roman" w:eastAsia="宋体" w:hAnsi="Times New Roman" w:cs="Times New Roman"/>
          <w:color w:val="000000"/>
          <w:kern w:val="0"/>
          <w:szCs w:val="21"/>
          <w:bdr w:val="none" w:sz="0" w:space="0" w:color="auto" w:frame="1"/>
        </w:rPr>
        <w:t>58, 2003, 685-705.</w:t>
      </w:r>
    </w:p>
    <w:p w:rsidR="00DD31BC" w:rsidRPr="000E5CC3" w:rsidRDefault="00DD31BC" w:rsidP="00DC3EC9">
      <w:pPr>
        <w:widowControl/>
        <w:spacing w:line="320" w:lineRule="exact"/>
        <w:contextualSpacing/>
        <w:rPr>
          <w:rFonts w:ascii="Times New Roman" w:hAnsi="Times New Roman" w:cs="Times New Roman"/>
        </w:rPr>
      </w:pPr>
    </w:p>
    <w:sectPr w:rsidR="00DD31BC" w:rsidRPr="000E5CC3" w:rsidSect="00930C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2BB" w:rsidRDefault="001D52BB" w:rsidP="00C877C6">
      <w:r>
        <w:separator/>
      </w:r>
    </w:p>
  </w:endnote>
  <w:endnote w:type="continuationSeparator" w:id="1">
    <w:p w:rsidR="001D52BB" w:rsidRDefault="001D52BB" w:rsidP="00C877C6">
      <w:r>
        <w:continuationSeparator/>
      </w:r>
    </w:p>
  </w:endnote>
</w:endnotes>
</file>

<file path=word/fontTable.xml><?xml version="1.0" encoding="utf-8"?>
<w:fonts xmlns:r="http://schemas.openxmlformats.org/officeDocument/2006/relationships" xmlns:w="http://schemas.openxmlformats.org/wordprocessingml/2006/main">
  <w:font w:name="CMR10">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imSu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2BB" w:rsidRDefault="001D52BB" w:rsidP="00C877C6">
      <w:r>
        <w:separator/>
      </w:r>
    </w:p>
  </w:footnote>
  <w:footnote w:type="continuationSeparator" w:id="1">
    <w:p w:rsidR="001D52BB" w:rsidRDefault="001D52BB" w:rsidP="00C87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800C0F"/>
    <w:multiLevelType w:val="hybridMultilevel"/>
    <w:tmpl w:val="C52E75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0339C2"/>
    <w:multiLevelType w:val="hybridMultilevel"/>
    <w:tmpl w:val="7114AAAE"/>
    <w:lvl w:ilvl="0" w:tplc="4B243C94">
      <w:start w:val="1"/>
      <w:numFmt w:val="decimal"/>
      <w:lvlText w:val="%1."/>
      <w:lvlJc w:val="left"/>
      <w:pPr>
        <w:ind w:left="360" w:hanging="360"/>
      </w:pPr>
      <w:rPr>
        <w:rFonts w:ascii="CMR10" w:hAnsi="CMR10" w:cs="CMR10"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BC3FF0"/>
    <w:multiLevelType w:val="hybridMultilevel"/>
    <w:tmpl w:val="BB8699FC"/>
    <w:lvl w:ilvl="0" w:tplc="18026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611F33"/>
    <w:multiLevelType w:val="hybridMultilevel"/>
    <w:tmpl w:val="A6F8E1F4"/>
    <w:lvl w:ilvl="0" w:tplc="84C61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9761A0"/>
    <w:multiLevelType w:val="hybridMultilevel"/>
    <w:tmpl w:val="A9FCD4CE"/>
    <w:lvl w:ilvl="0" w:tplc="6AE08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782940"/>
    <w:multiLevelType w:val="hybridMultilevel"/>
    <w:tmpl w:val="929C11EE"/>
    <w:lvl w:ilvl="0" w:tplc="BA2EF9D2">
      <w:start w:val="2009"/>
      <w:numFmt w:val="bullet"/>
      <w:lvlText w:val="-"/>
      <w:lvlJc w:val="left"/>
      <w:pPr>
        <w:ind w:left="600" w:hanging="360"/>
      </w:pPr>
      <w:rPr>
        <w:rFonts w:ascii="Times New Roman" w:eastAsia="SimSun" w:hAnsi="Times New Roman" w:cs="Times New Roman"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6">
    <w:nsid w:val="5B6156ED"/>
    <w:multiLevelType w:val="multilevel"/>
    <w:tmpl w:val="5B6156ED"/>
    <w:lvl w:ilvl="0">
      <w:start w:val="1"/>
      <w:numFmt w:val="decimal"/>
      <w:lvlText w:val="[%1]"/>
      <w:lvlJc w:val="left"/>
      <w:pPr>
        <w:tabs>
          <w:tab w:val="num" w:pos="0"/>
        </w:tabs>
        <w:ind w:left="839" w:hanging="419"/>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5CA31972"/>
    <w:multiLevelType w:val="hybridMultilevel"/>
    <w:tmpl w:val="84D45D0A"/>
    <w:lvl w:ilvl="0" w:tplc="B456D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6"/>
  </w:num>
  <w:num w:numId="4">
    <w:abstractNumId w:val="7"/>
  </w:num>
  <w:num w:numId="5">
    <w:abstractNumId w:val="0"/>
  </w:num>
  <w:num w:numId="6">
    <w:abstractNumId w:val="5"/>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77C6"/>
    <w:rsid w:val="000651D0"/>
    <w:rsid w:val="000C75AD"/>
    <w:rsid w:val="000E5CC3"/>
    <w:rsid w:val="000F2BAE"/>
    <w:rsid w:val="000F7E8B"/>
    <w:rsid w:val="001751DE"/>
    <w:rsid w:val="001D3F96"/>
    <w:rsid w:val="001D52BB"/>
    <w:rsid w:val="00210E91"/>
    <w:rsid w:val="0025034C"/>
    <w:rsid w:val="002612B9"/>
    <w:rsid w:val="00265EE2"/>
    <w:rsid w:val="00291A3D"/>
    <w:rsid w:val="002A6326"/>
    <w:rsid w:val="002C0B5A"/>
    <w:rsid w:val="002C330F"/>
    <w:rsid w:val="00311565"/>
    <w:rsid w:val="003547C7"/>
    <w:rsid w:val="00356C3F"/>
    <w:rsid w:val="00362F49"/>
    <w:rsid w:val="003665C4"/>
    <w:rsid w:val="003B1390"/>
    <w:rsid w:val="003D1F1B"/>
    <w:rsid w:val="0046509C"/>
    <w:rsid w:val="00466B7C"/>
    <w:rsid w:val="00493B0F"/>
    <w:rsid w:val="00520C49"/>
    <w:rsid w:val="005225E9"/>
    <w:rsid w:val="00590E92"/>
    <w:rsid w:val="005D1A35"/>
    <w:rsid w:val="00643F93"/>
    <w:rsid w:val="00662F3D"/>
    <w:rsid w:val="006871CB"/>
    <w:rsid w:val="00687659"/>
    <w:rsid w:val="006F4BC7"/>
    <w:rsid w:val="00714A3B"/>
    <w:rsid w:val="00745E6A"/>
    <w:rsid w:val="00761EF6"/>
    <w:rsid w:val="007A4B98"/>
    <w:rsid w:val="007C4EA6"/>
    <w:rsid w:val="007D2469"/>
    <w:rsid w:val="0086120A"/>
    <w:rsid w:val="00877FF5"/>
    <w:rsid w:val="008831D8"/>
    <w:rsid w:val="008D282D"/>
    <w:rsid w:val="008D4FEC"/>
    <w:rsid w:val="008F1A2A"/>
    <w:rsid w:val="009302AE"/>
    <w:rsid w:val="0097710B"/>
    <w:rsid w:val="00984381"/>
    <w:rsid w:val="00A0383D"/>
    <w:rsid w:val="00A26411"/>
    <w:rsid w:val="00AD0106"/>
    <w:rsid w:val="00AD106C"/>
    <w:rsid w:val="00AD777D"/>
    <w:rsid w:val="00AE4A40"/>
    <w:rsid w:val="00B65283"/>
    <w:rsid w:val="00BC542F"/>
    <w:rsid w:val="00BD5340"/>
    <w:rsid w:val="00C13A15"/>
    <w:rsid w:val="00C269CB"/>
    <w:rsid w:val="00C84FC0"/>
    <w:rsid w:val="00C877C6"/>
    <w:rsid w:val="00C94AF1"/>
    <w:rsid w:val="00CB0304"/>
    <w:rsid w:val="00CC0D9C"/>
    <w:rsid w:val="00CD5095"/>
    <w:rsid w:val="00CF6609"/>
    <w:rsid w:val="00D07240"/>
    <w:rsid w:val="00D97F07"/>
    <w:rsid w:val="00DC3EC9"/>
    <w:rsid w:val="00DD31BC"/>
    <w:rsid w:val="00E53C35"/>
    <w:rsid w:val="00E736BF"/>
    <w:rsid w:val="00EA6BB5"/>
    <w:rsid w:val="00EB27CB"/>
    <w:rsid w:val="00EB5FDC"/>
    <w:rsid w:val="00F35275"/>
    <w:rsid w:val="00F96D72"/>
    <w:rsid w:val="00FA365C"/>
    <w:rsid w:val="00FC63AA"/>
    <w:rsid w:val="00FF1794"/>
    <w:rsid w:val="00FF33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77C6"/>
    <w:rPr>
      <w:sz w:val="18"/>
      <w:szCs w:val="18"/>
    </w:rPr>
  </w:style>
  <w:style w:type="paragraph" w:styleId="a4">
    <w:name w:val="footer"/>
    <w:basedOn w:val="a"/>
    <w:link w:val="Char0"/>
    <w:uiPriority w:val="99"/>
    <w:semiHidden/>
    <w:unhideWhenUsed/>
    <w:rsid w:val="00C877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77C6"/>
    <w:rPr>
      <w:sz w:val="18"/>
      <w:szCs w:val="18"/>
    </w:rPr>
  </w:style>
  <w:style w:type="paragraph" w:styleId="a5">
    <w:name w:val="Balloon Text"/>
    <w:basedOn w:val="a"/>
    <w:link w:val="Char1"/>
    <w:uiPriority w:val="99"/>
    <w:semiHidden/>
    <w:unhideWhenUsed/>
    <w:rsid w:val="00C877C6"/>
    <w:rPr>
      <w:sz w:val="18"/>
      <w:szCs w:val="18"/>
    </w:rPr>
  </w:style>
  <w:style w:type="character" w:customStyle="1" w:styleId="Char1">
    <w:name w:val="批注框文本 Char"/>
    <w:basedOn w:val="a0"/>
    <w:link w:val="a5"/>
    <w:uiPriority w:val="99"/>
    <w:semiHidden/>
    <w:rsid w:val="00C877C6"/>
    <w:rPr>
      <w:sz w:val="18"/>
      <w:szCs w:val="18"/>
    </w:rPr>
  </w:style>
  <w:style w:type="character" w:styleId="a6">
    <w:name w:val="Hyperlink"/>
    <w:basedOn w:val="a0"/>
    <w:uiPriority w:val="99"/>
    <w:semiHidden/>
    <w:unhideWhenUsed/>
    <w:rsid w:val="00CF6609"/>
    <w:rPr>
      <w:color w:val="0000FF"/>
      <w:u w:val="single"/>
    </w:rPr>
  </w:style>
  <w:style w:type="paragraph" w:customStyle="1" w:styleId="Default">
    <w:name w:val="Default"/>
    <w:rsid w:val="00265EE2"/>
    <w:pPr>
      <w:widowControl w:val="0"/>
      <w:autoSpaceDE w:val="0"/>
      <w:autoSpaceDN w:val="0"/>
      <w:adjustRightInd w:val="0"/>
    </w:pPr>
    <w:rPr>
      <w:rFonts w:ascii="Times New Roman" w:hAnsi="Times New Roman" w:cs="Times New Roman"/>
      <w:color w:val="000000"/>
      <w:kern w:val="0"/>
      <w:sz w:val="24"/>
      <w:szCs w:val="24"/>
    </w:rPr>
  </w:style>
  <w:style w:type="paragraph" w:styleId="a7">
    <w:name w:val="List Paragraph"/>
    <w:basedOn w:val="a"/>
    <w:uiPriority w:val="34"/>
    <w:qFormat/>
    <w:rsid w:val="00265EE2"/>
    <w:pPr>
      <w:ind w:firstLineChars="200" w:firstLine="420"/>
    </w:pPr>
  </w:style>
  <w:style w:type="paragraph" w:styleId="HTML">
    <w:name w:val="HTML Preformatted"/>
    <w:basedOn w:val="a"/>
    <w:link w:val="HTMLChar"/>
    <w:uiPriority w:val="99"/>
    <w:semiHidden/>
    <w:unhideWhenUsed/>
    <w:rsid w:val="00DD31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DD31BC"/>
    <w:rPr>
      <w:rFonts w:ascii="宋体" w:eastAsia="宋体" w:hAnsi="宋体" w:cs="宋体"/>
      <w:kern w:val="0"/>
      <w:sz w:val="24"/>
      <w:szCs w:val="24"/>
    </w:rPr>
  </w:style>
  <w:style w:type="character" w:customStyle="1" w:styleId="apple-converted-space">
    <w:name w:val="apple-converted-space"/>
    <w:basedOn w:val="a0"/>
    <w:rsid w:val="009302AE"/>
  </w:style>
  <w:style w:type="character" w:styleId="a8">
    <w:name w:val="Emphasis"/>
    <w:basedOn w:val="a0"/>
    <w:uiPriority w:val="20"/>
    <w:qFormat/>
    <w:rsid w:val="009302AE"/>
    <w:rPr>
      <w:i/>
      <w:iCs/>
    </w:rPr>
  </w:style>
</w:styles>
</file>

<file path=word/webSettings.xml><?xml version="1.0" encoding="utf-8"?>
<w:webSettings xmlns:r="http://schemas.openxmlformats.org/officeDocument/2006/relationships" xmlns:w="http://schemas.openxmlformats.org/wordprocessingml/2006/main">
  <w:divs>
    <w:div w:id="32854872">
      <w:bodyDiv w:val="1"/>
      <w:marLeft w:val="0"/>
      <w:marRight w:val="0"/>
      <w:marTop w:val="0"/>
      <w:marBottom w:val="0"/>
      <w:divBdr>
        <w:top w:val="none" w:sz="0" w:space="0" w:color="auto"/>
        <w:left w:val="none" w:sz="0" w:space="0" w:color="auto"/>
        <w:bottom w:val="none" w:sz="0" w:space="0" w:color="auto"/>
        <w:right w:val="none" w:sz="0" w:space="0" w:color="auto"/>
      </w:divBdr>
    </w:div>
    <w:div w:id="164059782">
      <w:bodyDiv w:val="1"/>
      <w:marLeft w:val="0"/>
      <w:marRight w:val="0"/>
      <w:marTop w:val="0"/>
      <w:marBottom w:val="0"/>
      <w:divBdr>
        <w:top w:val="none" w:sz="0" w:space="0" w:color="auto"/>
        <w:left w:val="none" w:sz="0" w:space="0" w:color="auto"/>
        <w:bottom w:val="none" w:sz="0" w:space="0" w:color="auto"/>
        <w:right w:val="none" w:sz="0" w:space="0" w:color="auto"/>
      </w:divBdr>
      <w:divsChild>
        <w:div w:id="1712419164">
          <w:marLeft w:val="0"/>
          <w:marRight w:val="0"/>
          <w:marTop w:val="150"/>
          <w:marBottom w:val="150"/>
          <w:divBdr>
            <w:top w:val="none" w:sz="0" w:space="0" w:color="auto"/>
            <w:left w:val="none" w:sz="0" w:space="0" w:color="auto"/>
            <w:bottom w:val="none" w:sz="0" w:space="0" w:color="auto"/>
            <w:right w:val="none" w:sz="0" w:space="0" w:color="auto"/>
          </w:divBdr>
          <w:divsChild>
            <w:div w:id="767653785">
              <w:marLeft w:val="150"/>
              <w:marRight w:val="0"/>
              <w:marTop w:val="0"/>
              <w:marBottom w:val="0"/>
              <w:divBdr>
                <w:top w:val="none" w:sz="0" w:space="0" w:color="auto"/>
                <w:left w:val="none" w:sz="0" w:space="0" w:color="auto"/>
                <w:bottom w:val="none" w:sz="0" w:space="0" w:color="auto"/>
                <w:right w:val="none" w:sz="0" w:space="0" w:color="auto"/>
              </w:divBdr>
              <w:divsChild>
                <w:div w:id="1111314592">
                  <w:marLeft w:val="0"/>
                  <w:marRight w:val="0"/>
                  <w:marTop w:val="0"/>
                  <w:marBottom w:val="0"/>
                  <w:divBdr>
                    <w:top w:val="none" w:sz="0" w:space="0" w:color="auto"/>
                    <w:left w:val="none" w:sz="0" w:space="0" w:color="auto"/>
                    <w:bottom w:val="none" w:sz="0" w:space="0" w:color="auto"/>
                    <w:right w:val="none" w:sz="0" w:space="0" w:color="auto"/>
                  </w:divBdr>
                  <w:divsChild>
                    <w:div w:id="21366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48331">
      <w:bodyDiv w:val="1"/>
      <w:marLeft w:val="0"/>
      <w:marRight w:val="0"/>
      <w:marTop w:val="0"/>
      <w:marBottom w:val="0"/>
      <w:divBdr>
        <w:top w:val="none" w:sz="0" w:space="0" w:color="auto"/>
        <w:left w:val="none" w:sz="0" w:space="0" w:color="auto"/>
        <w:bottom w:val="none" w:sz="0" w:space="0" w:color="auto"/>
        <w:right w:val="none" w:sz="0" w:space="0" w:color="auto"/>
      </w:divBdr>
    </w:div>
    <w:div w:id="590507911">
      <w:bodyDiv w:val="1"/>
      <w:marLeft w:val="0"/>
      <w:marRight w:val="0"/>
      <w:marTop w:val="0"/>
      <w:marBottom w:val="0"/>
      <w:divBdr>
        <w:top w:val="none" w:sz="0" w:space="0" w:color="auto"/>
        <w:left w:val="none" w:sz="0" w:space="0" w:color="auto"/>
        <w:bottom w:val="none" w:sz="0" w:space="0" w:color="auto"/>
        <w:right w:val="none" w:sz="0" w:space="0" w:color="auto"/>
      </w:divBdr>
      <w:divsChild>
        <w:div w:id="571156521">
          <w:marLeft w:val="0"/>
          <w:marRight w:val="0"/>
          <w:marTop w:val="0"/>
          <w:marBottom w:val="0"/>
          <w:divBdr>
            <w:top w:val="none" w:sz="0" w:space="0" w:color="auto"/>
            <w:left w:val="none" w:sz="0" w:space="0" w:color="auto"/>
            <w:bottom w:val="none" w:sz="0" w:space="0" w:color="auto"/>
            <w:right w:val="none" w:sz="0" w:space="0" w:color="auto"/>
          </w:divBdr>
        </w:div>
        <w:div w:id="1349480811">
          <w:marLeft w:val="0"/>
          <w:marRight w:val="0"/>
          <w:marTop w:val="0"/>
          <w:marBottom w:val="0"/>
          <w:divBdr>
            <w:top w:val="none" w:sz="0" w:space="0" w:color="auto"/>
            <w:left w:val="none" w:sz="0" w:space="0" w:color="auto"/>
            <w:bottom w:val="none" w:sz="0" w:space="0" w:color="auto"/>
            <w:right w:val="none" w:sz="0" w:space="0" w:color="auto"/>
          </w:divBdr>
        </w:div>
        <w:div w:id="1080368071">
          <w:marLeft w:val="0"/>
          <w:marRight w:val="0"/>
          <w:marTop w:val="0"/>
          <w:marBottom w:val="0"/>
          <w:divBdr>
            <w:top w:val="none" w:sz="0" w:space="0" w:color="auto"/>
            <w:left w:val="none" w:sz="0" w:space="0" w:color="auto"/>
            <w:bottom w:val="none" w:sz="0" w:space="0" w:color="auto"/>
            <w:right w:val="none" w:sz="0" w:space="0" w:color="auto"/>
          </w:divBdr>
        </w:div>
      </w:divsChild>
    </w:div>
    <w:div w:id="727921511">
      <w:bodyDiv w:val="1"/>
      <w:marLeft w:val="0"/>
      <w:marRight w:val="0"/>
      <w:marTop w:val="0"/>
      <w:marBottom w:val="0"/>
      <w:divBdr>
        <w:top w:val="none" w:sz="0" w:space="0" w:color="auto"/>
        <w:left w:val="none" w:sz="0" w:space="0" w:color="auto"/>
        <w:bottom w:val="none" w:sz="0" w:space="0" w:color="auto"/>
        <w:right w:val="none" w:sz="0" w:space="0" w:color="auto"/>
      </w:divBdr>
    </w:div>
    <w:div w:id="850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72355-1108-4C6D-8691-B08075A0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30</cp:revision>
  <dcterms:created xsi:type="dcterms:W3CDTF">2015-10-09T09:38:00Z</dcterms:created>
  <dcterms:modified xsi:type="dcterms:W3CDTF">2016-12-13T05:14:00Z</dcterms:modified>
</cp:coreProperties>
</file>