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B68AC">
      <w:pPr>
        <w:spacing w:after="240" w:afterLines="100" w:line="360" w:lineRule="auto"/>
        <w:ind w:firstLine="883" w:firstLineChars="200"/>
        <w:rPr>
          <w:sz w:val="44"/>
          <w:szCs w:val="44"/>
        </w:rPr>
      </w:pPr>
      <w:bookmarkStart w:id="0" w:name="_GoBack"/>
      <w:bookmarkEnd w:id="0"/>
      <w:r>
        <w:rPr>
          <w:b/>
          <w:bCs/>
          <w:sz w:val="44"/>
          <w:szCs w:val="44"/>
        </w:rPr>
        <w:t>法学院本科毕业论文注释格式规范</w:t>
      </w:r>
    </w:p>
    <w:p w14:paraId="757F144B">
      <w:pPr>
        <w:spacing w:after="240" w:afterLines="100" w:line="360" w:lineRule="auto"/>
        <w:rPr>
          <w:rFonts w:asciiTheme="minorEastAsia" w:hAnsiTheme="minorEastAsia" w:cstheme="minorEastAsia"/>
          <w:sz w:val="30"/>
          <w:szCs w:val="30"/>
        </w:rPr>
      </w:pPr>
    </w:p>
    <w:p w14:paraId="4DD19579">
      <w:pPr>
        <w:spacing w:after="240" w:afterLines="100" w:line="360" w:lineRule="auto"/>
        <w:ind w:firstLine="602" w:firstLineChars="200"/>
        <w:rPr>
          <w:rFonts w:asciiTheme="minorEastAsia" w:hAnsiTheme="minorEastAsia" w:cstheme="minorEastAsia"/>
          <w:b/>
          <w:sz w:val="30"/>
          <w:szCs w:val="30"/>
        </w:rPr>
      </w:pPr>
      <w:r>
        <w:rPr>
          <w:rFonts w:asciiTheme="minorEastAsia" w:hAnsiTheme="minorEastAsia" w:cstheme="minorEastAsia"/>
          <w:b/>
          <w:sz w:val="30"/>
          <w:szCs w:val="30"/>
        </w:rPr>
        <w:t>一、引注的基本要求</w:t>
      </w:r>
    </w:p>
    <w:p w14:paraId="7AF319E9">
      <w:pPr>
        <w:spacing w:line="360" w:lineRule="auto"/>
        <w:ind w:firstLine="482" w:firstLineChars="200"/>
        <w:rPr>
          <w:sz w:val="24"/>
        </w:rPr>
      </w:pPr>
      <w:r>
        <w:rPr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 xml:space="preserve">. </w:t>
      </w:r>
      <w:r>
        <w:rPr>
          <w:b/>
          <w:bCs/>
          <w:sz w:val="24"/>
        </w:rPr>
        <w:t>使用引注应当必要和适度</w:t>
      </w:r>
    </w:p>
    <w:p w14:paraId="1C3EB294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学术写作应当尊重前人智力成果，方便读者查核论证资料。凡是涉及学术观点、法律文件、事件、案例、统计数据等，需要交代出处而又不便在正文中叙明的，应当予以注明。</w:t>
      </w:r>
    </w:p>
    <w:p w14:paraId="29C8B64B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注意保持正文流畅，避免过度引注。业内周知的知识无需引注，平常的意思无需引用他人的话。节制使用原文引用</w:t>
      </w:r>
      <w:r>
        <w:rPr>
          <w:rFonts w:hint="eastAsia"/>
          <w:sz w:val="24"/>
        </w:rPr>
        <w:t>；</w:t>
      </w:r>
      <w:r>
        <w:rPr>
          <w:sz w:val="24"/>
        </w:rPr>
        <w:t>除非必要，不大段引用原文。尽量避免一句多注或者连续一句一注。</w:t>
      </w:r>
    </w:p>
    <w:p w14:paraId="269985D0">
      <w:pPr>
        <w:spacing w:line="360" w:lineRule="auto"/>
        <w:ind w:firstLine="480" w:firstLineChars="200"/>
        <w:rPr>
          <w:sz w:val="24"/>
        </w:rPr>
      </w:pPr>
    </w:p>
    <w:p w14:paraId="00FF731E">
      <w:pPr>
        <w:spacing w:line="360" w:lineRule="auto"/>
        <w:ind w:firstLine="482" w:firstLineChars="200"/>
        <w:rPr>
          <w:sz w:val="24"/>
        </w:rPr>
      </w:pPr>
      <w:r>
        <w:rPr>
          <w:b/>
          <w:bCs/>
          <w:sz w:val="24"/>
        </w:rPr>
        <w:t>2. 文献来源真实、相关、权威</w:t>
      </w:r>
    </w:p>
    <w:p w14:paraId="505ED13D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确保引用文献的真实性。</w:t>
      </w:r>
      <w:r>
        <w:rPr>
          <w:rFonts w:hint="eastAsia"/>
          <w:sz w:val="24"/>
        </w:rPr>
        <w:t>注释提倡引用正式出版物，出版时间应精确到年或卷号、期数，原则上应具体到页。</w:t>
      </w:r>
      <w:r>
        <w:rPr>
          <w:sz w:val="24"/>
        </w:rPr>
        <w:t>未经查核的文献不得引用。引用他人观点，不得曲解。</w:t>
      </w:r>
    </w:p>
    <w:p w14:paraId="415CDD6A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所引文献应当与论证相关。同一问题有多种相关文献的</w:t>
      </w:r>
      <w:r>
        <w:rPr>
          <w:rFonts w:hint="eastAsia"/>
          <w:sz w:val="24"/>
        </w:rPr>
        <w:t>，</w:t>
      </w:r>
      <w:r>
        <w:rPr>
          <w:sz w:val="24"/>
        </w:rPr>
        <w:t>优先引用与论证最密切的文献，优先引用权威学者或核心期刊的</w:t>
      </w:r>
      <w:r>
        <w:rPr>
          <w:rFonts w:hint="eastAsia"/>
          <w:sz w:val="24"/>
        </w:rPr>
        <w:t>文献</w:t>
      </w:r>
      <w:r>
        <w:rPr>
          <w:sz w:val="24"/>
        </w:rPr>
        <w:t>。对相关问题的专题论述优于简单论及的文献。对列入《负面期刊目录》的文献，一般不建议引用。</w:t>
      </w:r>
    </w:p>
    <w:p w14:paraId="6E3133BF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同一内容有多种文献来源的，应当选择权威文献。有纸质出版文献的，不引用网络、电视资料。同一文献有多个来源的，一般引用最初刊发的文献，不引用网络或者其他介质转载的文献；能够查找并阅读原初文献的外文、古籍，应当查找并引用原初文献，不使用转引。有修订再版的，一般引用修订后的版本，先前版本与论证主题更为密切相关的除外。</w:t>
      </w:r>
    </w:p>
    <w:p w14:paraId="707771C1">
      <w:pPr>
        <w:spacing w:line="360" w:lineRule="auto"/>
        <w:ind w:firstLine="480" w:firstLineChars="200"/>
        <w:rPr>
          <w:sz w:val="24"/>
        </w:rPr>
      </w:pPr>
    </w:p>
    <w:p w14:paraId="49E77772">
      <w:pPr>
        <w:spacing w:line="360" w:lineRule="auto"/>
        <w:ind w:firstLine="482" w:firstLineChars="200"/>
        <w:rPr>
          <w:sz w:val="24"/>
        </w:rPr>
      </w:pPr>
      <w:r>
        <w:rPr>
          <w:b/>
          <w:bCs/>
          <w:sz w:val="24"/>
        </w:rPr>
        <w:t>3. 引注信息准确、完整、简洁</w:t>
      </w:r>
    </w:p>
    <w:p w14:paraId="1A03C093">
      <w:pPr>
        <w:spacing w:line="360" w:lineRule="auto"/>
        <w:ind w:firstLine="480" w:firstLineChars="200"/>
        <w:rPr>
          <w:rFonts w:ascii="仿宋" w:hAnsi="仿宋" w:eastAsia="仿宋"/>
          <w:sz w:val="24"/>
        </w:rPr>
        <w:sectPr>
          <w:footerReference r:id="rId4" w:type="default"/>
          <w:pgSz w:w="11907" w:h="16839"/>
          <w:pgMar w:top="1431" w:right="1733" w:bottom="1230" w:left="1785" w:header="0" w:footer="1068" w:gutter="0"/>
          <w:cols w:space="720" w:num="1"/>
        </w:sectPr>
      </w:pPr>
      <w:r>
        <w:rPr>
          <w:sz w:val="24"/>
        </w:rPr>
        <w:t>已出版文献引注信息的内容，原则上从原文原著。书籍的作者、名称和出版信息</w:t>
      </w:r>
      <w:r>
        <w:rPr>
          <w:rFonts w:hint="eastAsia"/>
          <w:sz w:val="24"/>
        </w:rPr>
        <w:t>（</w:t>
      </w:r>
      <w:r>
        <w:rPr>
          <w:sz w:val="24"/>
        </w:rPr>
        <w:t>如</w:t>
      </w:r>
      <w:r>
        <w:rPr>
          <w:rFonts w:hint="eastAsia"/>
          <w:sz w:val="24"/>
        </w:rPr>
        <w:t>“</w:t>
      </w:r>
      <w:r>
        <w:rPr>
          <w:sz w:val="24"/>
        </w:rPr>
        <w:t>修订版</w:t>
      </w:r>
      <w:r>
        <w:rPr>
          <w:rFonts w:hint="eastAsia"/>
          <w:sz w:val="24"/>
        </w:rPr>
        <w:t>”“</w:t>
      </w:r>
      <w:r>
        <w:rPr>
          <w:sz w:val="24"/>
        </w:rPr>
        <w:t>增订版</w:t>
      </w:r>
      <w:r>
        <w:rPr>
          <w:rFonts w:hint="eastAsia"/>
          <w:sz w:val="24"/>
        </w:rPr>
        <w:t>”“</w:t>
      </w:r>
      <w:r>
        <w:rPr>
          <w:sz w:val="24"/>
        </w:rPr>
        <w:t>第×版</w:t>
      </w:r>
      <w:r>
        <w:rPr>
          <w:rFonts w:hint="eastAsia"/>
          <w:sz w:val="24"/>
        </w:rPr>
        <w:t>”</w:t>
      </w:r>
      <w:r>
        <w:rPr>
          <w:sz w:val="24"/>
        </w:rPr>
        <w:t>），以版权页为准。原文献的署名或者</w:t>
      </w:r>
    </w:p>
    <w:p w14:paraId="1866708B">
      <w:pPr>
        <w:spacing w:line="360" w:lineRule="auto"/>
        <w:rPr>
          <w:sz w:val="24"/>
        </w:rPr>
      </w:pPr>
      <w:r>
        <w:rPr>
          <w:sz w:val="24"/>
        </w:rPr>
        <w:t>标题有错误的，先依原文，之后可以在适当位置注明。</w:t>
      </w:r>
    </w:p>
    <w:p w14:paraId="1AE2A39B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例如：</w:t>
      </w:r>
    </w:p>
    <w:p w14:paraId="7C2E919A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朱苏力：《制度是如何形成的</w:t>
      </w:r>
      <w:r>
        <w:rPr>
          <w:rFonts w:hint="eastAsia" w:ascii="仿宋" w:hAnsi="仿宋" w:eastAsia="仿宋"/>
          <w:sz w:val="24"/>
        </w:rPr>
        <w:t>？</w:t>
      </w:r>
      <w:r>
        <w:rPr>
          <w:rFonts w:ascii="仿宋" w:hAnsi="仿宋" w:eastAsia="仿宋"/>
          <w:sz w:val="24"/>
        </w:rPr>
        <w:t>——关于马歇尔诉麦迪逊案的故事》，载《比较法研究》1998年第1期（引者注：此处</w:t>
      </w:r>
      <w:r>
        <w:rPr>
          <w:rFonts w:hint="eastAsia" w:ascii="仿宋" w:hAnsi="仿宋" w:eastAsia="仿宋"/>
          <w:sz w:val="24"/>
        </w:rPr>
        <w:t>“</w:t>
      </w:r>
      <w:r>
        <w:rPr>
          <w:rFonts w:ascii="仿宋" w:hAnsi="仿宋" w:eastAsia="仿宋"/>
          <w:sz w:val="24"/>
        </w:rPr>
        <w:t>马歇尔</w:t>
      </w:r>
      <w:r>
        <w:rPr>
          <w:rFonts w:hint="eastAsia" w:ascii="仿宋" w:hAnsi="仿宋" w:eastAsia="仿宋"/>
          <w:sz w:val="24"/>
        </w:rPr>
        <w:t>”</w:t>
      </w:r>
      <w:r>
        <w:rPr>
          <w:rFonts w:ascii="仿宋" w:hAnsi="仿宋" w:eastAsia="仿宋"/>
          <w:sz w:val="24"/>
        </w:rPr>
        <w:t>系</w:t>
      </w:r>
      <w:r>
        <w:rPr>
          <w:rFonts w:hint="eastAsia" w:ascii="仿宋" w:hAnsi="仿宋" w:eastAsia="仿宋"/>
          <w:sz w:val="24"/>
        </w:rPr>
        <w:t>“</w:t>
      </w:r>
      <w:r>
        <w:rPr>
          <w:rFonts w:ascii="仿宋" w:hAnsi="仿宋" w:eastAsia="仿宋"/>
          <w:sz w:val="24"/>
        </w:rPr>
        <w:t>马伯里</w:t>
      </w:r>
      <w:r>
        <w:rPr>
          <w:rFonts w:hint="eastAsia" w:ascii="仿宋" w:hAnsi="仿宋" w:eastAsia="仿宋"/>
          <w:sz w:val="24"/>
        </w:rPr>
        <w:t>”</w:t>
      </w:r>
      <w:r>
        <w:rPr>
          <w:rFonts w:ascii="仿宋" w:hAnsi="仿宋" w:eastAsia="仿宋"/>
          <w:sz w:val="24"/>
        </w:rPr>
        <w:t>之误</w:t>
      </w:r>
      <w:r>
        <w:rPr>
          <w:rFonts w:hint="eastAsia" w:ascii="仿宋" w:hAnsi="仿宋" w:eastAsia="仿宋"/>
          <w:sz w:val="24"/>
        </w:rPr>
        <w:t>）</w:t>
      </w:r>
      <w:r>
        <w:rPr>
          <w:rFonts w:ascii="仿宋" w:hAnsi="仿宋" w:eastAsia="仿宋"/>
          <w:sz w:val="24"/>
        </w:rPr>
        <w:t>。</w:t>
      </w:r>
    </w:p>
    <w:p w14:paraId="7BE72241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引用文献信息应当完整，包含被引文献的基本要素，能精确到文献页码的应当标注页码，尽量方便读者查核。标注文献信息的具体内容，可以根据引注体例并结合文章主题、写作对象和论述需要酌定。</w:t>
      </w:r>
    </w:p>
    <w:p w14:paraId="1D58CA43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在保证引注信息完整的前提下，引注信息的编排尽可能简洁、流畅。</w:t>
      </w:r>
    </w:p>
    <w:p w14:paraId="6417F1B2">
      <w:pPr>
        <w:spacing w:line="360" w:lineRule="auto"/>
        <w:ind w:firstLine="480" w:firstLineChars="200"/>
        <w:rPr>
          <w:sz w:val="24"/>
        </w:rPr>
      </w:pPr>
    </w:p>
    <w:p w14:paraId="0279265E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（二）引注的一般格式</w:t>
      </w:r>
    </w:p>
    <w:p w14:paraId="610736FA">
      <w:pPr>
        <w:spacing w:line="360" w:lineRule="auto"/>
        <w:ind w:firstLine="482" w:firstLineChars="200"/>
        <w:rPr>
          <w:sz w:val="24"/>
        </w:rPr>
      </w:pPr>
      <w:r>
        <w:rPr>
          <w:b/>
          <w:bCs/>
          <w:sz w:val="24"/>
        </w:rPr>
        <w:t>4. 引注信息的排版</w:t>
      </w:r>
    </w:p>
    <w:p w14:paraId="00A73753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文中注释内容一律采用</w:t>
      </w:r>
      <w:r>
        <w:rPr>
          <w:sz w:val="24"/>
        </w:rPr>
        <w:t>页下</w:t>
      </w:r>
      <w:r>
        <w:rPr>
          <w:rFonts w:hint="eastAsia"/>
          <w:sz w:val="24"/>
        </w:rPr>
        <w:t>脚注，每页重新编号，若同一页出现两个及两个以上注释时，按各注在本页出现的顺序编号，编号格式为“1，2，3，……”。</w:t>
      </w:r>
    </w:p>
    <w:p w14:paraId="684A23F5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引注符号使用阿拉伯数字</w:t>
      </w:r>
      <w:r>
        <w:rPr>
          <w:rFonts w:hint="eastAsia"/>
          <w:sz w:val="24"/>
        </w:rPr>
        <w:t>“1，2，3”</w:t>
      </w:r>
      <w:r>
        <w:rPr>
          <w:sz w:val="24"/>
        </w:rPr>
        <w:t>。对论文作者的介绍、翻译作品的译者注</w:t>
      </w:r>
      <w:r>
        <w:rPr>
          <w:rFonts w:hint="eastAsia"/>
          <w:sz w:val="24"/>
        </w:rPr>
        <w:t>，</w:t>
      </w:r>
      <w:r>
        <w:rPr>
          <w:sz w:val="24"/>
        </w:rPr>
        <w:t>可以使用其他符号，以示区别。</w:t>
      </w:r>
    </w:p>
    <w:p w14:paraId="6FDE298B">
      <w:pPr>
        <w:spacing w:line="360" w:lineRule="auto"/>
        <w:ind w:firstLine="480" w:firstLineChars="200"/>
        <w:rPr>
          <w:sz w:val="24"/>
        </w:rPr>
      </w:pPr>
    </w:p>
    <w:p w14:paraId="65AF0834">
      <w:pPr>
        <w:spacing w:line="360" w:lineRule="auto"/>
        <w:ind w:firstLine="482" w:firstLineChars="200"/>
        <w:rPr>
          <w:sz w:val="24"/>
        </w:rPr>
      </w:pPr>
      <w:r>
        <w:rPr>
          <w:b/>
          <w:bCs/>
          <w:sz w:val="24"/>
        </w:rPr>
        <w:t>5. 引注符号的位置</w:t>
      </w:r>
    </w:p>
    <w:p w14:paraId="5828DC72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对全句的引用，引注符号置于句号、问号等标点之后。对句子部分内容的引用，引注符号置于该部分之后；对句中字词的直接引用，引注符号应当紧接引号，置于其他标点之前。</w:t>
      </w:r>
    </w:p>
    <w:p w14:paraId="192D4499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例如：</w:t>
      </w:r>
    </w:p>
    <w:p w14:paraId="67F4DA39">
      <w:pPr>
        <w:spacing w:line="360" w:lineRule="auto"/>
        <w:ind w:firstLine="480" w:firstLineChars="200"/>
        <w:rPr>
          <w:sz w:val="24"/>
        </w:rPr>
      </w:pPr>
      <w:r>
        <w:rPr>
          <w:rFonts w:ascii="仿宋" w:hAnsi="仿宋" w:eastAsia="仿宋"/>
          <w:sz w:val="24"/>
        </w:rPr>
        <w:t>在《行政诉讼法》起草过程中，关于受案范围问题曾有热烈的讨论</w:t>
      </w:r>
      <w:r>
        <w:rPr>
          <w:rFonts w:hint="eastAsia" w:ascii="仿宋" w:hAnsi="仿宋" w:eastAsia="仿宋"/>
          <w:sz w:val="24"/>
        </w:rPr>
        <w:t>。</w:t>
      </w:r>
      <w:r>
        <w:rPr>
          <w:rStyle w:val="6"/>
          <w:sz w:val="24"/>
        </w:rPr>
        <w:footnoteReference w:id="0"/>
      </w:r>
      <w:r>
        <w:rPr>
          <w:rFonts w:ascii="仿宋" w:hAnsi="仿宋" w:eastAsia="仿宋"/>
          <w:sz w:val="24"/>
        </w:rPr>
        <w:t>尽管多数学者主张概括规定法院应当受理的案件范围，以使受案范围尽量宽泛</w:t>
      </w:r>
      <w:r>
        <w:rPr>
          <w:rFonts w:hint="eastAsia" w:ascii="仿宋" w:hAnsi="仿宋" w:eastAsia="仿宋"/>
          <w:sz w:val="24"/>
        </w:rPr>
        <w:t>，</w:t>
      </w:r>
      <w:r>
        <w:rPr>
          <w:rStyle w:val="6"/>
          <w:rFonts w:hint="eastAsia"/>
          <w:sz w:val="24"/>
        </w:rPr>
        <w:footnoteReference w:id="1"/>
      </w:r>
      <w:r>
        <w:rPr>
          <w:rFonts w:ascii="仿宋" w:hAnsi="仿宋" w:eastAsia="仿宋"/>
          <w:sz w:val="24"/>
        </w:rPr>
        <w:t>立法最终采取了逐项列举的方式。比起此前各个单行法，《行政诉讼法》规定</w:t>
      </w:r>
      <w:r>
        <w:rPr>
          <w:rFonts w:hint="eastAsia" w:ascii="仿宋" w:hAnsi="仿宋" w:eastAsia="仿宋"/>
          <w:sz w:val="24"/>
        </w:rPr>
        <w:t>的</w:t>
      </w:r>
      <w:r>
        <w:rPr>
          <w:rFonts w:ascii="仿宋" w:hAnsi="仿宋" w:eastAsia="仿宋"/>
          <w:sz w:val="24"/>
        </w:rPr>
        <w:t>受案范围</w:t>
      </w:r>
      <w:r>
        <w:rPr>
          <w:rFonts w:hint="eastAsia" w:ascii="仿宋" w:hAnsi="仿宋" w:eastAsia="仿宋"/>
          <w:sz w:val="24"/>
        </w:rPr>
        <w:t>“</w:t>
      </w:r>
      <w:r>
        <w:rPr>
          <w:rFonts w:ascii="仿宋" w:hAnsi="仿宋" w:eastAsia="仿宋"/>
          <w:sz w:val="24"/>
        </w:rPr>
        <w:t>有所扩大</w:t>
      </w:r>
      <w:r>
        <w:rPr>
          <w:rFonts w:hint="eastAsia" w:ascii="仿宋" w:hAnsi="仿宋" w:eastAsia="仿宋"/>
          <w:sz w:val="24"/>
        </w:rPr>
        <w:t>”</w:t>
      </w:r>
      <w:r>
        <w:rPr>
          <w:rStyle w:val="6"/>
          <w:sz w:val="24"/>
        </w:rPr>
        <w:footnoteReference w:id="2"/>
      </w:r>
      <w:r>
        <w:rPr>
          <w:sz w:val="24"/>
        </w:rPr>
        <w:t>，</w:t>
      </w:r>
      <w:r>
        <w:rPr>
          <w:rFonts w:ascii="仿宋" w:hAnsi="仿宋" w:eastAsia="仿宋"/>
          <w:sz w:val="24"/>
        </w:rPr>
        <w:t>但与概括规定的主张还相距很远</w:t>
      </w:r>
      <w:r>
        <w:rPr>
          <w:rFonts w:hint="eastAsia" w:ascii="仿宋" w:hAnsi="仿宋" w:eastAsia="仿宋"/>
          <w:sz w:val="24"/>
        </w:rPr>
        <w:t>。</w:t>
      </w:r>
    </w:p>
    <w:p w14:paraId="52457919">
      <w:pPr>
        <w:rPr>
          <w:sz w:val="24"/>
        </w:rPr>
      </w:pPr>
    </w:p>
    <w:p w14:paraId="3CA7870F">
      <w:pPr>
        <w:rPr>
          <w:sz w:val="24"/>
        </w:rPr>
      </w:pPr>
    </w:p>
    <w:p w14:paraId="59DF6EA6">
      <w:pPr>
        <w:spacing w:line="360" w:lineRule="auto"/>
        <w:ind w:firstLine="482" w:firstLineChars="200"/>
        <w:rPr>
          <w:sz w:val="24"/>
        </w:rPr>
      </w:pPr>
      <w:r>
        <w:rPr>
          <w:b/>
          <w:bCs/>
          <w:sz w:val="24"/>
        </w:rPr>
        <w:t>6. 引文的编排处理</w:t>
      </w:r>
    </w:p>
    <w:p w14:paraId="64112AA7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为了节省篇幅，作者在原文引用时可以删除部分内容，删除的地方使用省略号；为了强调，作者在原文引用时可以对部分文字加上着重号或者变换字体</w:t>
      </w:r>
      <w:r>
        <w:rPr>
          <w:rFonts w:hint="eastAsia"/>
          <w:sz w:val="24"/>
        </w:rPr>
        <w:t>；</w:t>
      </w:r>
      <w:r>
        <w:rPr>
          <w:sz w:val="24"/>
        </w:rPr>
        <w:t>为便于读者理解，作者对引用内容可以用夹注的方式作出解释。删除、强调</w:t>
      </w:r>
      <w:r>
        <w:rPr>
          <w:rFonts w:hint="eastAsia"/>
          <w:sz w:val="24"/>
        </w:rPr>
        <w:t>或</w:t>
      </w:r>
      <w:r>
        <w:rPr>
          <w:sz w:val="24"/>
        </w:rPr>
        <w:t>者解释，应当清晰区分被引原文和作者评注，避免读者对引文原意产生误解。</w:t>
      </w:r>
    </w:p>
    <w:p w14:paraId="357A87D9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大段引用，或者有其他情况作者需要特别强调的，引注内容可以独立成段</w:t>
      </w:r>
      <w:r>
        <w:rPr>
          <w:rFonts w:hint="eastAsia"/>
          <w:sz w:val="24"/>
        </w:rPr>
        <w:t>，</w:t>
      </w:r>
      <w:r>
        <w:rPr>
          <w:sz w:val="24"/>
        </w:rPr>
        <w:t>变换字体，缩进编排。</w:t>
      </w:r>
    </w:p>
    <w:p w14:paraId="27375EAA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例如：</w:t>
      </w:r>
    </w:p>
    <w:p w14:paraId="7B3EB7BE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河南是全国行政诉讼大省，10年受案10.6万余件，约占全国的六分之一。该省于1996年4月召开全省法院行政审判工作会议</w:t>
      </w:r>
      <w:r>
        <w:rPr>
          <w:rFonts w:hint="eastAsia" w:ascii="仿宋" w:hAnsi="仿宋" w:eastAsia="仿宋"/>
          <w:sz w:val="24"/>
        </w:rPr>
        <w:t>：</w:t>
      </w:r>
    </w:p>
    <w:p w14:paraId="3549AA87">
      <w:pPr>
        <w:spacing w:line="360" w:lineRule="auto"/>
        <w:ind w:left="420" w:left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除各中院的院长、行政庭长和1995 年行政诉讼、非诉行政案件收案‘双超百’的 23 个基层法院的一把手和三个大力支持行政审判工作的县委书记参</w:t>
      </w:r>
      <w:r>
        <w:rPr>
          <w:rFonts w:hint="eastAsia" w:ascii="仿宋" w:hAnsi="仿宋" w:eastAsia="仿宋"/>
          <w:sz w:val="24"/>
        </w:rPr>
        <w:t>加</w:t>
      </w:r>
      <w:r>
        <w:rPr>
          <w:rFonts w:ascii="仿宋" w:hAnsi="仿宋" w:eastAsia="仿宋"/>
          <w:sz w:val="24"/>
        </w:rPr>
        <w:t>会议外（以之鼓励先进！），我们还让行政诉讼案件收案不足10件的14个基层法院的一把手参加会议（以之鞭策后进！）。在省院会议上，李道民院长（针对各地收案悬殊的状况）要求每个法院的领导都要认真查找一下原因，关键是从法院内部、从领导自身找原因；要认真反思一下，自己思想是否解放</w:t>
      </w:r>
      <w:r>
        <w:rPr>
          <w:rFonts w:hint="eastAsia" w:ascii="仿宋" w:hAnsi="仿宋" w:eastAsia="仿宋"/>
          <w:sz w:val="24"/>
        </w:rPr>
        <w:t>，</w:t>
      </w:r>
      <w:r>
        <w:rPr>
          <w:rFonts w:ascii="仿宋" w:hAnsi="仿宋" w:eastAsia="仿宋"/>
          <w:sz w:val="24"/>
        </w:rPr>
        <w:t>是不是真正重视行政审判工作。</w:t>
      </w:r>
      <w:r>
        <w:rPr>
          <w:rStyle w:val="6"/>
          <w:sz w:val="24"/>
        </w:rPr>
        <w:footnoteReference w:id="3"/>
      </w:r>
    </w:p>
    <w:p w14:paraId="52C7584F">
      <w:pPr>
        <w:spacing w:line="360" w:lineRule="auto"/>
        <w:ind w:firstLine="480" w:firstLineChars="200"/>
        <w:rPr>
          <w:sz w:val="24"/>
        </w:rPr>
      </w:pPr>
    </w:p>
    <w:p w14:paraId="16730558">
      <w:pPr>
        <w:spacing w:line="360" w:lineRule="auto"/>
        <w:ind w:firstLine="482" w:firstLineChars="200"/>
        <w:rPr>
          <w:b/>
          <w:bCs/>
          <w:sz w:val="24"/>
        </w:rPr>
      </w:pPr>
      <w:r>
        <w:rPr>
          <w:b/>
          <w:bCs/>
          <w:sz w:val="24"/>
        </w:rPr>
        <w:t>7. 文中图表的注释</w:t>
      </w:r>
    </w:p>
    <w:p w14:paraId="79022B79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对文中图表的来源或者内容的注释，可以采用页下注，也可以置于图表下面；置于图表下面的，不与其他注释连续编码。</w:t>
      </w:r>
    </w:p>
    <w:p w14:paraId="0293A772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图表来自其他文献的，出处宜以</w:t>
      </w:r>
      <w:r>
        <w:rPr>
          <w:rFonts w:hint="eastAsia"/>
          <w:sz w:val="24"/>
        </w:rPr>
        <w:t>“</w:t>
      </w:r>
      <w:r>
        <w:rPr>
          <w:sz w:val="24"/>
        </w:rPr>
        <w:t>图形来源</w:t>
      </w:r>
      <w:r>
        <w:rPr>
          <w:rFonts w:hint="eastAsia"/>
          <w:sz w:val="24"/>
        </w:rPr>
        <w:t>”“</w:t>
      </w:r>
      <w:r>
        <w:rPr>
          <w:sz w:val="24"/>
        </w:rPr>
        <w:t>图片来源</w:t>
      </w:r>
      <w:r>
        <w:rPr>
          <w:rFonts w:hint="eastAsia"/>
          <w:sz w:val="24"/>
        </w:rPr>
        <w:t>”</w:t>
      </w:r>
      <w:r>
        <w:rPr>
          <w:sz w:val="24"/>
        </w:rPr>
        <w:t>或者</w:t>
      </w:r>
      <w:r>
        <w:rPr>
          <w:rFonts w:hint="eastAsia"/>
          <w:sz w:val="24"/>
        </w:rPr>
        <w:t>“</w:t>
      </w:r>
      <w:r>
        <w:rPr>
          <w:sz w:val="24"/>
        </w:rPr>
        <w:t>表格来源</w:t>
      </w:r>
      <w:r>
        <w:rPr>
          <w:rFonts w:hint="eastAsia"/>
          <w:sz w:val="24"/>
        </w:rPr>
        <w:t>”</w:t>
      </w:r>
      <w:r>
        <w:rPr>
          <w:sz w:val="24"/>
        </w:rPr>
        <w:t>引出；图表数据来自其他文献、图表系作者自制的</w:t>
      </w:r>
      <w:r>
        <w:rPr>
          <w:rFonts w:hint="eastAsia"/>
          <w:sz w:val="24"/>
        </w:rPr>
        <w:t>，</w:t>
      </w:r>
      <w:r>
        <w:rPr>
          <w:sz w:val="24"/>
        </w:rPr>
        <w:t>出处宜以</w:t>
      </w:r>
      <w:r>
        <w:rPr>
          <w:rFonts w:hint="eastAsia"/>
          <w:sz w:val="24"/>
        </w:rPr>
        <w:t>“</w:t>
      </w:r>
      <w:r>
        <w:rPr>
          <w:sz w:val="24"/>
        </w:rPr>
        <w:t>数据来源</w:t>
      </w:r>
      <w:r>
        <w:rPr>
          <w:rFonts w:hint="eastAsia"/>
          <w:sz w:val="24"/>
        </w:rPr>
        <w:t>”</w:t>
      </w:r>
      <w:r>
        <w:rPr>
          <w:sz w:val="24"/>
        </w:rPr>
        <w:t>引出。</w:t>
      </w:r>
    </w:p>
    <w:p w14:paraId="0CC99D75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如果对图表有不同性质的注释，可以按图表来源、图表整体注释、图表部分内容注释的顺序排列。</w:t>
      </w:r>
    </w:p>
    <w:p w14:paraId="1E900187">
      <w:pPr>
        <w:spacing w:line="360" w:lineRule="auto"/>
        <w:ind w:firstLine="480" w:firstLineChars="200"/>
        <w:rPr>
          <w:sz w:val="24"/>
        </w:rPr>
      </w:pPr>
    </w:p>
    <w:p w14:paraId="35A67C8F">
      <w:pPr>
        <w:spacing w:line="360" w:lineRule="auto"/>
        <w:ind w:firstLine="482" w:firstLineChars="200"/>
        <w:rPr>
          <w:b/>
          <w:bCs/>
          <w:sz w:val="24"/>
        </w:rPr>
      </w:pPr>
      <w:r>
        <w:rPr>
          <w:b/>
          <w:bCs/>
          <w:sz w:val="24"/>
        </w:rPr>
        <w:t>8. 文中夹注古籍</w:t>
      </w:r>
    </w:p>
    <w:p w14:paraId="1F3F2A83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引用常见古籍经典中的语句，出处又相当简短的，可以在正文中使用夹注</w:t>
      </w:r>
      <w:r>
        <w:rPr>
          <w:rFonts w:hint="eastAsia"/>
          <w:sz w:val="24"/>
        </w:rPr>
        <w:t>，</w:t>
      </w:r>
      <w:r>
        <w:rPr>
          <w:sz w:val="24"/>
        </w:rPr>
        <w:t>以代替页下脚注。夹注一般只标书名和篇名</w:t>
      </w:r>
      <w:r>
        <w:rPr>
          <w:rFonts w:hint="eastAsia"/>
          <w:sz w:val="24"/>
        </w:rPr>
        <w:t>，</w:t>
      </w:r>
      <w:r>
        <w:rPr>
          <w:sz w:val="24"/>
        </w:rPr>
        <w:t>用中圆点连接，用圆括号括注</w:t>
      </w:r>
      <w:r>
        <w:rPr>
          <w:rFonts w:hint="eastAsia"/>
          <w:sz w:val="24"/>
        </w:rPr>
        <w:t>，</w:t>
      </w:r>
      <w:r>
        <w:rPr>
          <w:sz w:val="24"/>
        </w:rPr>
        <w:t>紧随引文之后。</w:t>
      </w:r>
    </w:p>
    <w:p w14:paraId="3213C3F5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例如</w:t>
      </w:r>
      <w:r>
        <w:rPr>
          <w:rFonts w:hint="eastAsia"/>
          <w:sz w:val="24"/>
        </w:rPr>
        <w:t>：</w:t>
      </w:r>
    </w:p>
    <w:p w14:paraId="419A85A0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天神所具有的道德意志，代表的是人民的意志。这也就是所谓“天聪明自我民聪明，天明畏自我民明畏”（《尚书·皋陶谟》），“民之所欲， 天必从之”（《尚书·泰誓》）。</w:t>
      </w:r>
    </w:p>
    <w:p w14:paraId="1D982999">
      <w:pPr>
        <w:spacing w:line="360" w:lineRule="auto"/>
        <w:ind w:firstLine="480" w:firstLineChars="200"/>
        <w:rPr>
          <w:sz w:val="24"/>
          <w:highlight w:val="yellow"/>
        </w:rPr>
      </w:pPr>
    </w:p>
    <w:p w14:paraId="2A3627C7">
      <w:pPr>
        <w:spacing w:line="360" w:lineRule="auto"/>
        <w:ind w:firstLine="482" w:firstLineChars="200"/>
        <w:rPr>
          <w:b/>
          <w:sz w:val="24"/>
        </w:rPr>
      </w:pPr>
      <w:r>
        <w:rPr>
          <w:b/>
          <w:sz w:val="24"/>
        </w:rPr>
        <w:t>9. 文中夹注外文</w:t>
      </w:r>
    </w:p>
    <w:p w14:paraId="527D229B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正文中提及的外国人名、地名和重要术语，读者不熟悉或者容易误解的</w:t>
      </w:r>
      <w:r>
        <w:rPr>
          <w:rFonts w:hint="eastAsia"/>
          <w:sz w:val="24"/>
        </w:rPr>
        <w:t>，</w:t>
      </w:r>
      <w:r>
        <w:rPr>
          <w:sz w:val="24"/>
        </w:rPr>
        <w:t>第一次出现时，在正文中夹注外文。</w:t>
      </w:r>
    </w:p>
    <w:p w14:paraId="24FA3A0F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例如</w:t>
      </w:r>
      <w:r>
        <w:rPr>
          <w:rFonts w:hint="eastAsia"/>
          <w:sz w:val="24"/>
        </w:rPr>
        <w:t>：</w:t>
      </w:r>
    </w:p>
    <w:p w14:paraId="5F8DCCB6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自毕克尔（</w:t>
      </w:r>
      <w:r>
        <w:rPr>
          <w:rFonts w:eastAsia="仿宋"/>
          <w:sz w:val="24"/>
        </w:rPr>
        <w:t>A. Bickel</w:t>
      </w:r>
      <w:r>
        <w:rPr>
          <w:rFonts w:ascii="仿宋" w:hAnsi="仿宋" w:eastAsia="仿宋"/>
          <w:sz w:val="24"/>
        </w:rPr>
        <w:t>）提出司法审查“反多数难题”</w:t>
      </w:r>
      <w:r>
        <w:rPr>
          <w:rFonts w:hint="eastAsia" w:ascii="仿宋" w:hAnsi="仿宋" w:eastAsia="仿宋"/>
          <w:sz w:val="24"/>
        </w:rPr>
        <w:t>（</w:t>
      </w:r>
      <w:r>
        <w:rPr>
          <w:rFonts w:eastAsia="仿宋"/>
          <w:sz w:val="24"/>
        </w:rPr>
        <w:t>counter-majoritarian difficulty</w:t>
      </w:r>
      <w:r>
        <w:rPr>
          <w:rFonts w:hint="eastAsia" w:ascii="仿宋" w:hAnsi="仿宋" w:eastAsia="仿宋"/>
          <w:sz w:val="24"/>
        </w:rPr>
        <w:t>），</w:t>
      </w:r>
      <w:r>
        <w:rPr>
          <w:rStyle w:val="6"/>
          <w:rFonts w:hint="eastAsia"/>
          <w:sz w:val="24"/>
        </w:rPr>
        <w:footnoteReference w:id="4"/>
      </w:r>
      <w:r>
        <w:rPr>
          <w:rFonts w:ascii="仿宋" w:hAnsi="仿宋" w:eastAsia="仿宋"/>
          <w:sz w:val="24"/>
        </w:rPr>
        <w:t>该问题占据了美国宪法研究的中心，无数的笔墨花在对司法审查合法性的探讨上。</w:t>
      </w:r>
    </w:p>
    <w:p w14:paraId="781BD379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夹注外文不宜太多、篇幅不宜太长，以免妨害中文阅读。众所周知的外国人名、地名和术语，在论述中并不重要的术语，不夹注外文</w:t>
      </w:r>
      <w:r>
        <w:rPr>
          <w:rFonts w:hint="eastAsia"/>
          <w:sz w:val="24"/>
        </w:rPr>
        <w:t>。</w:t>
      </w:r>
      <w:r>
        <w:rPr>
          <w:sz w:val="24"/>
        </w:rPr>
        <w:t>人名、地名、术语涉及情况比较复杂，需要在正文或者脚注中专门辨析、说明的，不使用夹注。较长句子不使用夹注。</w:t>
      </w:r>
    </w:p>
    <w:p w14:paraId="5B672B0B">
      <w:pPr>
        <w:spacing w:line="360" w:lineRule="auto"/>
        <w:ind w:firstLine="480" w:firstLineChars="200"/>
        <w:rPr>
          <w:sz w:val="24"/>
        </w:rPr>
      </w:pPr>
    </w:p>
    <w:p w14:paraId="622F8C97">
      <w:pPr>
        <w:spacing w:line="360" w:lineRule="auto"/>
        <w:ind w:firstLine="482" w:firstLineChars="200"/>
        <w:rPr>
          <w:b/>
          <w:sz w:val="24"/>
        </w:rPr>
      </w:pPr>
      <w:r>
        <w:rPr>
          <w:b/>
          <w:sz w:val="24"/>
        </w:rPr>
        <w:t>10. 文中夹注页码</w:t>
      </w:r>
    </w:p>
    <w:p w14:paraId="599362D4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一般来说，不鼓励在一个篇章中频繁、密集引用同一文献。对特定书籍和</w:t>
      </w:r>
      <w:r>
        <w:rPr>
          <w:rFonts w:hint="eastAsia"/>
          <w:sz w:val="24"/>
        </w:rPr>
        <w:t>文</w:t>
      </w:r>
      <w:r>
        <w:rPr>
          <w:sz w:val="24"/>
        </w:rPr>
        <w:t>章的专门介绍、评论、商榷，确需多次引用的，可以在适当声明后，在正文相应位置用括号夹注页码。</w:t>
      </w:r>
    </w:p>
    <w:p w14:paraId="0669BD2C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引文出自于同资料相邻数页时，页码应明确，注释体例为：</w:t>
      </w:r>
      <w:r>
        <w:rPr>
          <w:sz w:val="24"/>
        </w:rPr>
        <w:t>...</w:t>
      </w:r>
      <w:r>
        <w:rPr>
          <w:rFonts w:hint="eastAsia"/>
          <w:sz w:val="24"/>
        </w:rPr>
        <w:t>第67-69页。</w:t>
      </w:r>
    </w:p>
    <w:p w14:paraId="4D157153">
      <w:pPr>
        <w:spacing w:line="360" w:lineRule="auto"/>
        <w:ind w:firstLine="480" w:firstLineChars="200"/>
        <w:rPr>
          <w:sz w:val="24"/>
        </w:rPr>
      </w:pPr>
    </w:p>
    <w:p w14:paraId="65CF50BD">
      <w:pPr>
        <w:spacing w:line="360" w:lineRule="auto"/>
        <w:ind w:firstLine="482" w:firstLineChars="200"/>
        <w:rPr>
          <w:b/>
          <w:sz w:val="24"/>
        </w:rPr>
      </w:pPr>
      <w:r>
        <w:rPr>
          <w:b/>
          <w:sz w:val="24"/>
        </w:rPr>
        <w:t>11. 引领词的用法</w:t>
      </w:r>
    </w:p>
    <w:p w14:paraId="48F7964B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1）</w:t>
      </w:r>
      <w:r>
        <w:rPr>
          <w:rFonts w:hint="eastAsia"/>
          <w:sz w:val="24"/>
        </w:rPr>
        <w:t>“</w:t>
      </w:r>
      <w:r>
        <w:rPr>
          <w:sz w:val="24"/>
        </w:rPr>
        <w:t>参见</w:t>
      </w:r>
      <w:r>
        <w:rPr>
          <w:rFonts w:hint="eastAsia"/>
          <w:sz w:val="24"/>
        </w:rPr>
        <w:t>”</w:t>
      </w:r>
      <w:r>
        <w:rPr>
          <w:sz w:val="24"/>
        </w:rPr>
        <w:t>和</w:t>
      </w:r>
      <w:r>
        <w:rPr>
          <w:rFonts w:hint="eastAsia"/>
          <w:sz w:val="24"/>
        </w:rPr>
        <w:t>“</w:t>
      </w:r>
      <w:r>
        <w:rPr>
          <w:sz w:val="24"/>
        </w:rPr>
        <w:t>见</w:t>
      </w:r>
      <w:r>
        <w:rPr>
          <w:rFonts w:hint="eastAsia"/>
          <w:sz w:val="24"/>
        </w:rPr>
        <w:t>”</w:t>
      </w:r>
    </w:p>
    <w:p w14:paraId="2E34496E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一般来说，</w:t>
      </w:r>
      <w:r>
        <w:rPr>
          <w:rFonts w:hint="eastAsia"/>
          <w:sz w:val="24"/>
        </w:rPr>
        <w:t>非直接引用原文时的</w:t>
      </w:r>
      <w:r>
        <w:rPr>
          <w:sz w:val="24"/>
        </w:rPr>
        <w:t>概括引用可以</w:t>
      </w:r>
      <w:r>
        <w:rPr>
          <w:rFonts w:hint="eastAsia"/>
          <w:sz w:val="24"/>
        </w:rPr>
        <w:t>在注释前加“参见”</w:t>
      </w:r>
      <w:r>
        <w:rPr>
          <w:sz w:val="24"/>
        </w:rPr>
        <w:t>引领，直接引用原文用</w:t>
      </w:r>
      <w:r>
        <w:rPr>
          <w:rFonts w:hint="eastAsia"/>
          <w:sz w:val="24"/>
        </w:rPr>
        <w:t>“见”</w:t>
      </w:r>
      <w:r>
        <w:rPr>
          <w:sz w:val="24"/>
        </w:rPr>
        <w:t>。由于引用原文通常使用引号，足以识别，可以省略引领词</w:t>
      </w:r>
      <w:r>
        <w:rPr>
          <w:rFonts w:hint="eastAsia"/>
          <w:sz w:val="24"/>
        </w:rPr>
        <w:t>“</w:t>
      </w:r>
      <w:r>
        <w:rPr>
          <w:sz w:val="24"/>
        </w:rPr>
        <w:t>见</w:t>
      </w:r>
      <w:r>
        <w:rPr>
          <w:rFonts w:hint="eastAsia"/>
          <w:sz w:val="24"/>
        </w:rPr>
        <w:t>”</w:t>
      </w:r>
      <w:r>
        <w:rPr>
          <w:sz w:val="24"/>
        </w:rPr>
        <w:t>。</w:t>
      </w:r>
    </w:p>
    <w:p w14:paraId="62135265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2）</w:t>
      </w:r>
      <w:r>
        <w:rPr>
          <w:rFonts w:hint="eastAsia"/>
          <w:sz w:val="24"/>
        </w:rPr>
        <w:t>“</w:t>
      </w:r>
      <w:r>
        <w:rPr>
          <w:sz w:val="24"/>
        </w:rPr>
        <w:t>又见</w:t>
      </w:r>
      <w:r>
        <w:rPr>
          <w:rFonts w:hint="eastAsia"/>
          <w:sz w:val="24"/>
        </w:rPr>
        <w:t>”“</w:t>
      </w:r>
      <w:r>
        <w:rPr>
          <w:sz w:val="24"/>
        </w:rPr>
        <w:t>另见</w:t>
      </w:r>
      <w:r>
        <w:rPr>
          <w:rFonts w:hint="eastAsia"/>
          <w:sz w:val="24"/>
        </w:rPr>
        <w:t>”</w:t>
      </w:r>
    </w:p>
    <w:p w14:paraId="123C2264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同一文献有不同出处，需要互相印证的，可以写</w:t>
      </w:r>
      <w:r>
        <w:rPr>
          <w:rFonts w:hint="eastAsia"/>
          <w:sz w:val="24"/>
        </w:rPr>
        <w:t>“</w:t>
      </w:r>
      <w:r>
        <w:rPr>
          <w:sz w:val="24"/>
        </w:rPr>
        <w:t>又见</w:t>
      </w:r>
      <w:r>
        <w:rPr>
          <w:rFonts w:hint="eastAsia"/>
          <w:sz w:val="24"/>
        </w:rPr>
        <w:t>”</w:t>
      </w:r>
      <w:r>
        <w:rPr>
          <w:sz w:val="24"/>
        </w:rPr>
        <w:t>。</w:t>
      </w:r>
    </w:p>
    <w:p w14:paraId="1C5E6F14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正文中叙述一个观点，脚注援引该观点的出处，同时提及其他作者的相关文献，可以写</w:t>
      </w:r>
      <w:r>
        <w:rPr>
          <w:rFonts w:hint="eastAsia"/>
          <w:sz w:val="24"/>
        </w:rPr>
        <w:t>“</w:t>
      </w:r>
      <w:r>
        <w:rPr>
          <w:sz w:val="24"/>
        </w:rPr>
        <w:t>另见</w:t>
      </w:r>
      <w:r>
        <w:rPr>
          <w:rFonts w:hint="eastAsia"/>
          <w:sz w:val="24"/>
        </w:rPr>
        <w:t>”</w:t>
      </w:r>
      <w:r>
        <w:rPr>
          <w:sz w:val="24"/>
        </w:rPr>
        <w:t>。</w:t>
      </w:r>
    </w:p>
    <w:p w14:paraId="279A99F4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3）</w:t>
      </w:r>
      <w:r>
        <w:rPr>
          <w:rFonts w:hint="eastAsia"/>
          <w:sz w:val="24"/>
        </w:rPr>
        <w:t>“</w:t>
      </w:r>
      <w:r>
        <w:rPr>
          <w:sz w:val="24"/>
        </w:rPr>
        <w:t>转引自</w:t>
      </w:r>
      <w:r>
        <w:rPr>
          <w:rFonts w:hint="eastAsia"/>
          <w:sz w:val="24"/>
        </w:rPr>
        <w:t>”</w:t>
      </w:r>
    </w:p>
    <w:p w14:paraId="1D3320A9">
      <w:pPr>
        <w:spacing w:line="360" w:lineRule="auto"/>
        <w:ind w:left="479" w:leftChars="228"/>
        <w:rPr>
          <w:sz w:val="24"/>
        </w:rPr>
      </w:pPr>
      <w:r>
        <w:rPr>
          <w:sz w:val="24"/>
        </w:rPr>
        <w:t>作者没有找到原初文献并予以核实，只是转引他人的，</w:t>
      </w:r>
      <w:r>
        <w:rPr>
          <w:rFonts w:hint="eastAsia"/>
          <w:sz w:val="24"/>
        </w:rPr>
        <w:t>即非引用原始资料时，</w:t>
      </w:r>
    </w:p>
    <w:p w14:paraId="756BA207">
      <w:pPr>
        <w:spacing w:line="360" w:lineRule="auto"/>
        <w:rPr>
          <w:sz w:val="24"/>
        </w:rPr>
      </w:pPr>
      <w:r>
        <w:rPr>
          <w:rFonts w:hint="eastAsia"/>
          <w:sz w:val="24"/>
        </w:rPr>
        <w:t>应注明“</w:t>
      </w:r>
      <w:r>
        <w:rPr>
          <w:sz w:val="24"/>
        </w:rPr>
        <w:t>转引自</w:t>
      </w:r>
      <w:r>
        <w:rPr>
          <w:rFonts w:hint="eastAsia"/>
          <w:sz w:val="24"/>
        </w:rPr>
        <w:t>”</w:t>
      </w:r>
      <w:r>
        <w:rPr>
          <w:sz w:val="24"/>
        </w:rPr>
        <w:t>。作者已经查找、核实原文的，直接引用原文，不写</w:t>
      </w:r>
      <w:r>
        <w:rPr>
          <w:rFonts w:hint="eastAsia"/>
          <w:sz w:val="24"/>
        </w:rPr>
        <w:t>“</w:t>
      </w:r>
      <w:r>
        <w:rPr>
          <w:sz w:val="24"/>
        </w:rPr>
        <w:t>转引自</w:t>
      </w:r>
      <w:r>
        <w:rPr>
          <w:rFonts w:hint="eastAsia"/>
          <w:sz w:val="24"/>
        </w:rPr>
        <w:t>”</w:t>
      </w:r>
      <w:r>
        <w:rPr>
          <w:sz w:val="24"/>
        </w:rPr>
        <w:t>。</w:t>
      </w:r>
    </w:p>
    <w:p w14:paraId="14F18EA6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4）</w:t>
      </w:r>
      <w:r>
        <w:rPr>
          <w:rFonts w:hint="eastAsia"/>
          <w:sz w:val="24"/>
        </w:rPr>
        <w:t>“</w:t>
      </w:r>
      <w:r>
        <w:rPr>
          <w:sz w:val="24"/>
        </w:rPr>
        <w:t>载</w:t>
      </w:r>
      <w:r>
        <w:rPr>
          <w:rFonts w:hint="eastAsia"/>
          <w:sz w:val="24"/>
        </w:rPr>
        <w:t>”</w:t>
      </w:r>
    </w:p>
    <w:p w14:paraId="454CEDE6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文章来源于期刊、报纸、网络以及来源于独立作品组成的文集，文献来源前标注</w:t>
      </w:r>
      <w:r>
        <w:rPr>
          <w:rFonts w:hint="eastAsia"/>
          <w:sz w:val="24"/>
        </w:rPr>
        <w:t>“</w:t>
      </w:r>
      <w:r>
        <w:rPr>
          <w:sz w:val="24"/>
        </w:rPr>
        <w:t>载</w:t>
      </w:r>
      <w:r>
        <w:rPr>
          <w:rFonts w:hint="eastAsia"/>
          <w:sz w:val="24"/>
        </w:rPr>
        <w:t>”</w:t>
      </w:r>
      <w:r>
        <w:rPr>
          <w:sz w:val="24"/>
        </w:rPr>
        <w:t>。</w:t>
      </w:r>
    </w:p>
    <w:p w14:paraId="2D3C709D">
      <w:pPr>
        <w:spacing w:line="360" w:lineRule="auto"/>
        <w:ind w:firstLine="480" w:firstLineChars="200"/>
        <w:rPr>
          <w:sz w:val="24"/>
        </w:rPr>
      </w:pPr>
    </w:p>
    <w:p w14:paraId="5DBF5934">
      <w:pPr>
        <w:spacing w:line="360" w:lineRule="auto"/>
        <w:ind w:firstLine="482" w:firstLineChars="200"/>
        <w:rPr>
          <w:b/>
          <w:sz w:val="24"/>
        </w:rPr>
      </w:pPr>
      <w:r>
        <w:rPr>
          <w:b/>
          <w:sz w:val="24"/>
        </w:rPr>
        <w:t>12. 标点符号的用法</w:t>
      </w:r>
    </w:p>
    <w:p w14:paraId="35FFCBB5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标点符号的使用应当遵循国家标准《标点符号用法》（GB/T</w:t>
      </w:r>
      <w:r>
        <w:rPr>
          <w:rFonts w:hint="eastAsia"/>
          <w:sz w:val="24"/>
        </w:rPr>
        <w:t xml:space="preserve"> </w:t>
      </w:r>
      <w:r>
        <w:rPr>
          <w:sz w:val="24"/>
        </w:rPr>
        <w:t>15834-2011），防止误用。以下是常见的误用：</w:t>
      </w:r>
    </w:p>
    <w:p w14:paraId="23B5C92C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1）混用标点符号与其他符号。例如，把单书名号〈〉写成尖括号 &lt; &gt; ，把短横线</w:t>
      </w:r>
      <w:r>
        <w:rPr>
          <w:rFonts w:hint="eastAsia"/>
          <w:sz w:val="24"/>
        </w:rPr>
        <w:t>“</w:t>
      </w:r>
      <w:r>
        <w:rPr>
          <w:sz w:val="24"/>
        </w:rPr>
        <w:t>–</w:t>
      </w:r>
      <w:r>
        <w:rPr>
          <w:rFonts w:hint="eastAsia"/>
          <w:sz w:val="24"/>
        </w:rPr>
        <w:t>”</w:t>
      </w:r>
      <w:r>
        <w:rPr>
          <w:sz w:val="24"/>
        </w:rPr>
        <w:t>写成一字线</w:t>
      </w:r>
      <w:r>
        <w:rPr>
          <w:rFonts w:hint="eastAsia"/>
          <w:sz w:val="24"/>
        </w:rPr>
        <w:t>“</w:t>
      </w:r>
      <w:r>
        <w:rPr>
          <w:sz w:val="24"/>
        </w:rPr>
        <w:t>—</w:t>
      </w:r>
      <w:r>
        <w:rPr>
          <w:rFonts w:hint="eastAsia"/>
          <w:sz w:val="24"/>
        </w:rPr>
        <w:t>”</w:t>
      </w:r>
      <w:r>
        <w:rPr>
          <w:sz w:val="24"/>
        </w:rPr>
        <w:t>，把中圆点</w:t>
      </w:r>
      <w:r>
        <w:rPr>
          <w:rFonts w:hint="eastAsia"/>
          <w:sz w:val="24"/>
        </w:rPr>
        <w:t>“</w:t>
      </w:r>
      <w:r>
        <w:rPr>
          <w:sz w:val="24"/>
        </w:rPr>
        <w:t>·</w:t>
      </w:r>
      <w:r>
        <w:rPr>
          <w:rFonts w:hint="eastAsia"/>
          <w:sz w:val="24"/>
        </w:rPr>
        <w:t>”</w:t>
      </w:r>
      <w:r>
        <w:rPr>
          <w:sz w:val="24"/>
        </w:rPr>
        <w:t>写成下角圆点</w:t>
      </w:r>
      <w:r>
        <w:rPr>
          <w:rFonts w:hint="eastAsia"/>
          <w:sz w:val="24"/>
        </w:rPr>
        <w:t>“</w:t>
      </w:r>
      <w:r>
        <w:rPr>
          <w:sz w:val="24"/>
        </w:rPr>
        <w:t>.</w:t>
      </w:r>
      <w:r>
        <w:rPr>
          <w:rFonts w:hint="eastAsia"/>
          <w:sz w:val="24"/>
        </w:rPr>
        <w:t>”</w:t>
      </w:r>
      <w:r>
        <w:rPr>
          <w:sz w:val="24"/>
        </w:rPr>
        <w:t>。</w:t>
      </w:r>
    </w:p>
    <w:p w14:paraId="65611045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2）混用中英文输入法。例如，把中文状态的下的逗号，、引号</w:t>
      </w:r>
      <w:r>
        <w:rPr>
          <w:rFonts w:hint="eastAsia"/>
          <w:sz w:val="24"/>
        </w:rPr>
        <w:t>“”</w:t>
      </w:r>
      <w:r>
        <w:rPr>
          <w:sz w:val="24"/>
        </w:rPr>
        <w:t>、括号</w:t>
      </w:r>
      <w:r>
        <w:rPr>
          <w:rFonts w:hint="eastAsia"/>
          <w:sz w:val="24"/>
        </w:rPr>
        <w:t>（）</w:t>
      </w:r>
      <w:r>
        <w:rPr>
          <w:sz w:val="24"/>
        </w:rPr>
        <w:t>,与英文状态下的逗号,\引号“ ” 、括号( ) 混同使用。</w:t>
      </w:r>
    </w:p>
    <w:p w14:paraId="2E455C03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3）不必要地使用标点符号。例如，在几个并列的书名号（如《中国法学》《中外法学》《清华法学》《法学家》）中间加顿号，在标示序数的括号[如（一）]后面加顿号。</w:t>
      </w:r>
    </w:p>
    <w:p w14:paraId="73540619">
      <w:pPr>
        <w:spacing w:line="360" w:lineRule="auto"/>
        <w:ind w:firstLine="480" w:firstLineChars="200"/>
        <w:rPr>
          <w:sz w:val="24"/>
        </w:rPr>
      </w:pPr>
    </w:p>
    <w:p w14:paraId="749225DC">
      <w:pPr>
        <w:spacing w:line="360" w:lineRule="auto"/>
        <w:ind w:firstLine="482" w:firstLineChars="200"/>
        <w:rPr>
          <w:b/>
          <w:sz w:val="24"/>
        </w:rPr>
      </w:pPr>
      <w:r>
        <w:rPr>
          <w:b/>
          <w:sz w:val="24"/>
        </w:rPr>
        <w:t>13. 同一注释包含多个文献</w:t>
      </w:r>
    </w:p>
    <w:p w14:paraId="3F382D13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（1）</w:t>
      </w:r>
      <w:r>
        <w:rPr>
          <w:sz w:val="24"/>
        </w:rPr>
        <w:t>同一注释里包含多条同类文献的，一般按时间顺序排列，用分号隔开。</w:t>
      </w:r>
    </w:p>
    <w:p w14:paraId="67A8225C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例如</w:t>
      </w:r>
      <w:r>
        <w:rPr>
          <w:rFonts w:hint="eastAsia"/>
          <w:sz w:val="24"/>
        </w:rPr>
        <w:t>：</w:t>
      </w:r>
    </w:p>
    <w:p w14:paraId="04B35351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马怀德主编：《司法改革与行政诉讼制度的完善》，中国政法大学出版社2004年版；胡建淼主编：《行政诉讼法修改研究》，浙江大学出版社2007年版；杨小君主编：《行政诉讼法问题研究与制度改革》，中国人民公安大学出版社2007年版；莫于川主编：《建设法治政府需要司法更给力》，清华大学出版社2014年版； 何海波等：《理想的行政诉讼法》，载《行政法学研究》2014年第2期。</w:t>
      </w:r>
    </w:p>
    <w:p w14:paraId="4C0D430F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（2）</w:t>
      </w:r>
      <w:r>
        <w:rPr>
          <w:sz w:val="24"/>
        </w:rPr>
        <w:t>同一注释里中外文文献混合排列的，结尾句号使用最后文献的语种。</w:t>
      </w:r>
    </w:p>
    <w:p w14:paraId="53D5F396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例如：</w:t>
      </w:r>
    </w:p>
    <w:p w14:paraId="25419FC9">
      <w:pPr>
        <w:spacing w:line="360" w:lineRule="auto"/>
        <w:ind w:firstLine="480" w:firstLineChars="200"/>
        <w:rPr>
          <w:sz w:val="24"/>
        </w:rPr>
      </w:pPr>
      <w:r>
        <w:rPr>
          <w:rFonts w:ascii="仿宋" w:hAnsi="仿宋" w:eastAsia="仿宋"/>
          <w:sz w:val="24"/>
        </w:rPr>
        <w:t>参见沈岿：《制度变迁与法官的规则选择：立足刘燕文案的初步探索》，载《北大法律评论》第3卷第2辑</w:t>
      </w:r>
      <w:r>
        <w:rPr>
          <w:rFonts w:hint="eastAsia" w:ascii="仿宋" w:hAnsi="仿宋" w:eastAsia="仿宋"/>
          <w:sz w:val="24"/>
        </w:rPr>
        <w:t>，</w:t>
      </w:r>
      <w:r>
        <w:rPr>
          <w:rFonts w:ascii="仿宋" w:hAnsi="仿宋" w:eastAsia="仿宋"/>
          <w:sz w:val="24"/>
        </w:rPr>
        <w:t>法律出版社2000年版；</w:t>
      </w:r>
      <w:r>
        <w:rPr>
          <w:sz w:val="24"/>
        </w:rPr>
        <w:t xml:space="preserve">Thomas Kellogg, </w:t>
      </w:r>
      <w:r>
        <w:rPr>
          <w:rFonts w:ascii="Times New Roman Italic" w:hAnsi="Times New Roman Italic" w:cs="Times New Roman Italic"/>
          <w:i/>
          <w:iCs/>
          <w:sz w:val="24"/>
        </w:rPr>
        <w:t>“Courageous Explorers”? Education Litigation and Judicial Innovation in China</w:t>
      </w:r>
      <w:r>
        <w:rPr>
          <w:sz w:val="24"/>
        </w:rPr>
        <w:t>, 20 Harvard Human Rights Journal</w:t>
      </w:r>
      <w:r>
        <w:rPr>
          <w:rFonts w:hint="eastAsia"/>
          <w:sz w:val="24"/>
        </w:rPr>
        <w:t xml:space="preserve"> </w:t>
      </w:r>
      <w:r>
        <w:rPr>
          <w:sz w:val="24"/>
        </w:rPr>
        <w:t>141 (2007).</w:t>
      </w:r>
    </w:p>
    <w:p w14:paraId="61C53DF1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（3）</w:t>
      </w:r>
      <w:r>
        <w:rPr>
          <w:sz w:val="24"/>
        </w:rPr>
        <w:t>外文文献包含在一个句子中，整个句子属于中文句式的，结尾句号使用中文句号。</w:t>
      </w:r>
    </w:p>
    <w:p w14:paraId="37100503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例如：</w:t>
      </w:r>
    </w:p>
    <w:p w14:paraId="03CEDFEE">
      <w:pPr>
        <w:spacing w:line="360" w:lineRule="auto"/>
        <w:ind w:firstLine="480" w:firstLineChars="200"/>
        <w:rPr>
          <w:sz w:val="24"/>
        </w:rPr>
      </w:pPr>
      <w:r>
        <w:rPr>
          <w:rFonts w:ascii="仿宋" w:hAnsi="仿宋" w:eastAsia="仿宋"/>
          <w:sz w:val="24"/>
        </w:rPr>
        <w:t>对于</w:t>
      </w:r>
      <w:r>
        <w:rPr>
          <w:rFonts w:hint="eastAsia" w:ascii="仿宋" w:hAnsi="仿宋" w:eastAsia="仿宋"/>
          <w:sz w:val="24"/>
        </w:rPr>
        <w:t>“</w:t>
      </w:r>
      <w:r>
        <w:rPr>
          <w:rFonts w:ascii="仿宋" w:hAnsi="仿宋" w:eastAsia="仿宋"/>
          <w:sz w:val="24"/>
        </w:rPr>
        <w:t>分离的领域</w:t>
      </w:r>
      <w:r>
        <w:rPr>
          <w:rFonts w:hint="eastAsia" w:ascii="仿宋" w:hAnsi="仿宋" w:eastAsia="仿宋"/>
          <w:sz w:val="24"/>
        </w:rPr>
        <w:t>”</w:t>
      </w:r>
      <w:r>
        <w:rPr>
          <w:rFonts w:ascii="仿宋" w:hAnsi="仿宋" w:eastAsia="仿宋"/>
          <w:sz w:val="24"/>
        </w:rPr>
        <w:t>的经典论述，参见</w:t>
      </w:r>
      <w:r>
        <w:rPr>
          <w:sz w:val="24"/>
        </w:rPr>
        <w:t>Bradwell v. Illionois, 83 U.S. 130, 141</w:t>
      </w:r>
    </w:p>
    <w:p w14:paraId="2C4501C2">
      <w:pPr>
        <w:spacing w:line="360" w:lineRule="auto"/>
        <w:rPr>
          <w:sz w:val="24"/>
        </w:rPr>
      </w:pPr>
      <w:r>
        <w:rPr>
          <w:sz w:val="24"/>
        </w:rPr>
        <w:t>(1892)。</w:t>
      </w:r>
    </w:p>
    <w:p w14:paraId="544B0410">
      <w:pPr>
        <w:spacing w:line="360" w:lineRule="auto"/>
        <w:ind w:firstLine="480" w:firstLineChars="200"/>
        <w:rPr>
          <w:sz w:val="24"/>
        </w:rPr>
      </w:pPr>
    </w:p>
    <w:p w14:paraId="2888656C">
      <w:pPr>
        <w:spacing w:line="360" w:lineRule="auto"/>
        <w:ind w:firstLine="482" w:firstLineChars="200"/>
        <w:rPr>
          <w:b/>
          <w:sz w:val="24"/>
        </w:rPr>
      </w:pPr>
      <w:r>
        <w:rPr>
          <w:b/>
          <w:sz w:val="24"/>
        </w:rPr>
        <w:t>14. 同一文献多次出现</w:t>
      </w:r>
    </w:p>
    <w:p w14:paraId="594E6715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对同一文献的引用应当适度；除了对该文献的专门介绍和评论，一般不宜频繁、密集引用。</w:t>
      </w:r>
    </w:p>
    <w:p w14:paraId="13EE1829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数个注释引自于同一资料时，注释皆用完整表达，不采用“如前引注 1，哈耶克，第48页”等简略方式。</w:t>
      </w:r>
    </w:p>
    <w:p w14:paraId="3A02930E">
      <w:pPr>
        <w:spacing w:line="360" w:lineRule="auto"/>
        <w:ind w:firstLine="480" w:firstLineChars="200"/>
        <w:rPr>
          <w:sz w:val="24"/>
        </w:rPr>
      </w:pPr>
    </w:p>
    <w:p w14:paraId="0E69A8EF">
      <w:pPr>
        <w:spacing w:line="360" w:lineRule="auto"/>
        <w:ind w:firstLine="482" w:firstLineChars="200"/>
        <w:rPr>
          <w:b/>
          <w:sz w:val="24"/>
        </w:rPr>
      </w:pPr>
      <w:r>
        <w:rPr>
          <w:b/>
          <w:sz w:val="24"/>
        </w:rPr>
        <w:t>15. 同一文献多个来源</w:t>
      </w:r>
    </w:p>
    <w:p w14:paraId="50C4D9C0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同一文献有多个来源的，原则上只引用一个来源，即最早的出处。一些早期文献的最早出处一般读者不易查找，作者认为有必要的，可以同时引注该文献重印或者转载的信息。</w:t>
      </w:r>
    </w:p>
    <w:p w14:paraId="4089926A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例如：</w:t>
      </w:r>
    </w:p>
    <w:p w14:paraId="1D2875DA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顾颉刚：《五德终始说下的政治和历史》，载《清华学报》第6卷第1期（1930年），后重刊于顾颉刚编著：《古史辨》（第5册），朴社1935年版（上海古籍出版社1982年重印）。</w:t>
      </w:r>
    </w:p>
    <w:p w14:paraId="236243C2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 w:ascii="仿宋" w:hAnsi="仿宋" w:eastAsia="仿宋"/>
          <w:sz w:val="24"/>
        </w:rPr>
        <w:t>民国大学诉工商总长刘揆一案，判决文书见熊元翰等编：《京师地方审判厅法曹会判牍汇编·第一集民事》，京师地方审判厅1914年版，第232-236页，转引自北京记忆，</w:t>
      </w:r>
      <w:r>
        <w:fldChar w:fldCharType="begin"/>
      </w:r>
      <w:r>
        <w:instrText xml:space="preserve"> HYPERLINK "http://www.bjmem.com.cn/bjm/bjwh/zzfl/200711/t20071111_5953.html" </w:instrText>
      </w:r>
      <w:r>
        <w:fldChar w:fldCharType="separate"/>
      </w:r>
      <w:r>
        <w:rPr>
          <w:rFonts w:hint="eastAsia"/>
          <w:sz w:val="24"/>
        </w:rPr>
        <w:t>http://www.bjmem.com.cn/bjm/bjwh/zzfl/200711/t20071111_5953.html。</w:t>
      </w:r>
      <w:r>
        <w:rPr>
          <w:sz w:val="24"/>
        </w:rPr>
        <w:fldChar w:fldCharType="end"/>
      </w:r>
    </w:p>
    <w:p w14:paraId="170CFA36">
      <w:pPr>
        <w:spacing w:line="360" w:lineRule="auto"/>
        <w:ind w:firstLine="480" w:firstLineChars="200"/>
        <w:rPr>
          <w:sz w:val="24"/>
        </w:rPr>
      </w:pPr>
    </w:p>
    <w:p w14:paraId="5D264FE2">
      <w:pPr>
        <w:spacing w:line="360" w:lineRule="auto"/>
        <w:ind w:firstLine="482" w:firstLineChars="200"/>
        <w:rPr>
          <w:b/>
          <w:sz w:val="24"/>
        </w:rPr>
      </w:pPr>
      <w:r>
        <w:rPr>
          <w:b/>
          <w:sz w:val="24"/>
        </w:rPr>
        <w:t>16. 对文献的解释和评论</w:t>
      </w:r>
    </w:p>
    <w:p w14:paraId="79EF5AD0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除了纯粹的解释性脚注，引用文献的脚注也可以适当夹带解释或者评论。</w:t>
      </w:r>
    </w:p>
    <w:p w14:paraId="0B46A2E3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1）对文献内容的解释</w:t>
      </w:r>
    </w:p>
    <w:p w14:paraId="6A4637A3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例如：</w:t>
      </w:r>
    </w:p>
    <w:p w14:paraId="54D4BCCF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 xml:space="preserve">R. v. Panel on Take-overs and Mergers [1987] QB 815. </w:t>
      </w:r>
      <w:r>
        <w:rPr>
          <w:rFonts w:ascii="仿宋" w:hAnsi="仿宋" w:eastAsia="仿宋"/>
          <w:sz w:val="24"/>
        </w:rPr>
        <w:t>该案涉及对一个证券交 易机构的司法审查。这个交易机构既非行政机关也没有法律授权，却行使规制和惩罚的职能。</w:t>
      </w:r>
    </w:p>
    <w:p w14:paraId="02F955A0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2）提示类似研究或者相反观点</w:t>
      </w:r>
    </w:p>
    <w:p w14:paraId="7E6678F3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例如：</w:t>
      </w:r>
    </w:p>
    <w:p w14:paraId="286CEDE5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 xml:space="preserve">Jeffrey E. Cohen, </w:t>
      </w:r>
      <w:r>
        <w:rPr>
          <w:rFonts w:ascii="Times New Roman Italic" w:hAnsi="Times New Roman Italic" w:cs="Times New Roman Italic"/>
          <w:i/>
          <w:iCs/>
          <w:sz w:val="24"/>
        </w:rPr>
        <w:t>The Dynamics of the “Revolving Door” on the FCC</w:t>
      </w:r>
      <w:r>
        <w:rPr>
          <w:sz w:val="24"/>
        </w:rPr>
        <w:t xml:space="preserve">, 30 American Journal of Political Science, 689 (1986). </w:t>
      </w:r>
      <w:r>
        <w:rPr>
          <w:rFonts w:ascii="仿宋" w:hAnsi="仿宋" w:eastAsia="仿宋"/>
          <w:sz w:val="24"/>
        </w:rPr>
        <w:t>类似的研究还有</w:t>
      </w:r>
      <w:r>
        <w:rPr>
          <w:sz w:val="24"/>
        </w:rPr>
        <w:t xml:space="preserve">Paul Quirk, </w:t>
      </w:r>
      <w:r>
        <w:rPr>
          <w:rFonts w:ascii="Times New Roman Italic" w:hAnsi="Times New Roman Italic" w:cs="Times New Roman Italic"/>
          <w:i/>
          <w:iCs/>
          <w:sz w:val="24"/>
        </w:rPr>
        <w:t>Industry Influence in Federal Regulatory Agencies</w:t>
      </w:r>
      <w:r>
        <w:rPr>
          <w:sz w:val="24"/>
        </w:rPr>
        <w:t>, Princeton University Press, 1981.</w:t>
      </w:r>
    </w:p>
    <w:p w14:paraId="0F20D6A9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3）对文献整体的评论</w:t>
      </w:r>
    </w:p>
    <w:p w14:paraId="77106565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例如：</w:t>
      </w:r>
    </w:p>
    <w:p w14:paraId="6058CB79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这些意见没有公开，但从最高人民法院法官的著作中，可以了解法院的基本立场。参见江必新主编：《中国行政诉讼制度的完善：行政诉讼法修改问题实务研究》，法律出版社2005年版；江必新：《完善行政诉讼制度的若干思考》，载《中国法学》2013年第1期；李广宇、王振宇、梁凤云：《行政诉讼法修改应关注十大问题》，载《法律适用》2013年第3期。</w:t>
      </w:r>
    </w:p>
    <w:p w14:paraId="4677101F">
      <w:pPr>
        <w:spacing w:line="360" w:lineRule="auto"/>
        <w:ind w:firstLine="480" w:firstLineChars="200"/>
        <w:rPr>
          <w:sz w:val="24"/>
        </w:rPr>
      </w:pPr>
    </w:p>
    <w:p w14:paraId="6BE05A60">
      <w:pPr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17. 引用自己的作品时，同其他注释一样完整表达，直接标明作者姓名，不要使用“拙文”等自谦词。</w:t>
      </w:r>
    </w:p>
    <w:p w14:paraId="3CC164B9">
      <w:pPr>
        <w:spacing w:line="360" w:lineRule="auto"/>
        <w:ind w:firstLine="480" w:firstLineChars="200"/>
        <w:rPr>
          <w:sz w:val="24"/>
        </w:rPr>
      </w:pPr>
    </w:p>
    <w:p w14:paraId="17B94B8D">
      <w:pPr>
        <w:spacing w:line="360" w:lineRule="auto"/>
        <w:ind w:firstLine="480" w:firstLineChars="200"/>
        <w:rPr>
          <w:sz w:val="24"/>
        </w:rPr>
      </w:pPr>
    </w:p>
    <w:p w14:paraId="78EA6322">
      <w:pPr>
        <w:spacing w:line="360" w:lineRule="auto"/>
        <w:ind w:firstLine="480" w:firstLineChars="200"/>
        <w:rPr>
          <w:sz w:val="24"/>
        </w:rPr>
        <w:sectPr>
          <w:footerReference r:id="rId5" w:type="default"/>
          <w:pgSz w:w="11907" w:h="16839"/>
          <w:pgMar w:top="1431" w:right="1733" w:bottom="1230" w:left="1785" w:header="0" w:footer="1068" w:gutter="0"/>
          <w:cols w:space="720" w:num="1"/>
        </w:sectPr>
      </w:pPr>
    </w:p>
    <w:p w14:paraId="6A937770">
      <w:pPr>
        <w:spacing w:after="312" w:afterLines="100" w:line="360" w:lineRule="auto"/>
        <w:ind w:firstLine="602" w:firstLineChars="200"/>
        <w:rPr>
          <w:rFonts w:asciiTheme="minorEastAsia" w:hAnsi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cstheme="minorEastAsia"/>
          <w:b/>
          <w:sz w:val="30"/>
          <w:szCs w:val="30"/>
        </w:rPr>
        <w:t>二、示 例</w:t>
      </w:r>
    </w:p>
    <w:p w14:paraId="4DD26656">
      <w:pPr>
        <w:spacing w:line="360" w:lineRule="auto"/>
        <w:ind w:firstLine="482" w:firstLineChars="20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（一）著作类</w:t>
      </w:r>
    </w:p>
    <w:p w14:paraId="039A93A0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作者或译者：《书名》，出版社与出版时间。</w:t>
      </w:r>
    </w:p>
    <w:p w14:paraId="734093C0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注意事项：</w:t>
      </w:r>
    </w:p>
    <w:p w14:paraId="1CE908F9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⑴当有多名作者时，作者姓名之间用逗号“、”隔开。</w:t>
      </w:r>
    </w:p>
    <w:p w14:paraId="060C5C03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⑵当有多名译者时，译者姓名之间用逗号“、”隔开。</w:t>
      </w:r>
    </w:p>
    <w:p w14:paraId="0AD3D538">
      <w:pPr>
        <w:spacing w:line="360" w:lineRule="auto"/>
        <w:ind w:firstLine="480" w:firstLineChars="200"/>
        <w:jc w:val="left"/>
        <w:rPr>
          <w:rFonts w:hAnsi="宋体"/>
          <w:sz w:val="24"/>
        </w:rPr>
      </w:pPr>
      <w:r>
        <w:rPr>
          <w:rFonts w:hint="eastAsia"/>
          <w:sz w:val="24"/>
        </w:rPr>
        <w:t>⑶“出版社”和“出版时间”之间不隔开，除此之外用</w:t>
      </w:r>
      <w:r>
        <w:rPr>
          <w:rFonts w:hint="eastAsia" w:ascii="宋体" w:hAnsi="宋体"/>
          <w:sz w:val="24"/>
        </w:rPr>
        <w:t>“，”隔开，句末加“。”</w:t>
      </w:r>
      <w:r>
        <w:rPr>
          <w:rFonts w:hint="eastAsia"/>
          <w:sz w:val="24"/>
        </w:rPr>
        <w:t>。</w:t>
      </w:r>
    </w:p>
    <w:p w14:paraId="534B2879">
      <w:pPr>
        <w:spacing w:line="360" w:lineRule="auto"/>
        <w:ind w:firstLine="480" w:firstLineChars="200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具体注释体例：</w:t>
      </w:r>
    </w:p>
    <w:p w14:paraId="2B760529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hAnsi="宋体"/>
          <w:sz w:val="24"/>
        </w:rPr>
      </w:pPr>
      <w:r>
        <w:rPr>
          <w:rFonts w:hAnsi="宋体"/>
          <w:sz w:val="24"/>
        </w:rPr>
        <w:t>王名扬：《美国行政法》，北京大学出版社2007年版。</w:t>
      </w:r>
    </w:p>
    <w:p w14:paraId="7DF31949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hAnsi="宋体"/>
          <w:sz w:val="24"/>
        </w:rPr>
      </w:pPr>
      <w:r>
        <w:rPr>
          <w:rFonts w:hAnsi="宋体"/>
          <w:sz w:val="24"/>
        </w:rPr>
        <w:t>张新宝：《侵权责任法》（第4版），中国人民大学出版社2016年版</w:t>
      </w:r>
      <w:r>
        <w:rPr>
          <w:rFonts w:hint="eastAsia" w:hAnsi="宋体"/>
          <w:sz w:val="24"/>
        </w:rPr>
        <w:t>，</w:t>
      </w:r>
      <w:r>
        <w:rPr>
          <w:rFonts w:hAnsi="宋体"/>
          <w:sz w:val="24"/>
        </w:rPr>
        <w:t>第 73-75页。</w:t>
      </w:r>
    </w:p>
    <w:p w14:paraId="3E005D36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hAnsi="宋体"/>
          <w:sz w:val="24"/>
        </w:rPr>
      </w:pPr>
      <w:r>
        <w:rPr>
          <w:rFonts w:hAnsi="宋体"/>
          <w:sz w:val="24"/>
        </w:rPr>
        <w:t>应松年、马怀德主编：《当代中国行政法的源流：王名扬教授九十华诞贺寿文集》，中国法制出版社2006年版，第168页。</w:t>
      </w:r>
    </w:p>
    <w:p w14:paraId="6935E204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hAnsi="宋体"/>
          <w:sz w:val="24"/>
        </w:rPr>
      </w:pPr>
      <w:r>
        <w:rPr>
          <w:rFonts w:hAnsi="宋体"/>
          <w:sz w:val="24"/>
        </w:rPr>
        <w:t>高鸿钧等主编：《英美法原论》，北京大学出版社2013年版，第二章“英美判例法”。</w:t>
      </w:r>
    </w:p>
    <w:p w14:paraId="5842D927">
      <w:pPr>
        <w:spacing w:line="360" w:lineRule="auto"/>
        <w:ind w:firstLine="480" w:firstLineChars="200"/>
        <w:jc w:val="left"/>
        <w:rPr>
          <w:rFonts w:hAnsi="宋体"/>
          <w:sz w:val="24"/>
        </w:rPr>
      </w:pPr>
    </w:p>
    <w:p w14:paraId="44FD789A">
      <w:pPr>
        <w:spacing w:line="360" w:lineRule="auto"/>
        <w:ind w:firstLine="482" w:firstLineChars="20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（二）期刊杂志类</w:t>
      </w:r>
    </w:p>
    <w:p w14:paraId="11080F1D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作者、译者：《文章题目》，《期刊名》年份及卷号或期数。</w:t>
      </w:r>
    </w:p>
    <w:p w14:paraId="443D6228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注意事项：</w:t>
      </w:r>
    </w:p>
    <w:p w14:paraId="01BBA50D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“期刊名”和“年份及卷号或期数”之间不隔开，除此之外用</w:t>
      </w:r>
      <w:r>
        <w:rPr>
          <w:rFonts w:hint="eastAsia" w:ascii="宋体" w:hAnsi="宋体"/>
          <w:sz w:val="24"/>
        </w:rPr>
        <w:t>“，”隔开</w:t>
      </w:r>
      <w:r>
        <w:rPr>
          <w:rFonts w:hint="eastAsia"/>
          <w:sz w:val="24"/>
        </w:rPr>
        <w:t>。</w:t>
      </w:r>
    </w:p>
    <w:p w14:paraId="7CBBB3ED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具体注释体例：</w:t>
      </w:r>
    </w:p>
    <w:p w14:paraId="72954DB4">
      <w:pPr>
        <w:pStyle w:val="8"/>
        <w:numPr>
          <w:ilvl w:val="0"/>
          <w:numId w:val="2"/>
        </w:numPr>
        <w:spacing w:line="360" w:lineRule="auto"/>
        <w:ind w:firstLineChars="0"/>
        <w:jc w:val="left"/>
        <w:rPr>
          <w:sz w:val="24"/>
        </w:rPr>
      </w:pPr>
      <w:r>
        <w:rPr>
          <w:sz w:val="24"/>
        </w:rPr>
        <w:t>季卫东：《法律程序的意义：对中国法制建设的另一种思考》，载《中国社会科学》1993年第1期。</w:t>
      </w:r>
    </w:p>
    <w:p w14:paraId="3E64C1AD">
      <w:pPr>
        <w:pStyle w:val="8"/>
        <w:numPr>
          <w:ilvl w:val="0"/>
          <w:numId w:val="2"/>
        </w:numPr>
        <w:spacing w:line="360" w:lineRule="auto"/>
        <w:ind w:firstLineChars="0"/>
        <w:jc w:val="left"/>
        <w:rPr>
          <w:sz w:val="24"/>
        </w:rPr>
      </w:pPr>
      <w:r>
        <w:rPr>
          <w:sz w:val="24"/>
        </w:rPr>
        <w:t>苏永钦：《私法自治中的国家强制》，载《中外法学》2001年第1期。</w:t>
      </w:r>
    </w:p>
    <w:p w14:paraId="36753DD5">
      <w:pPr>
        <w:pStyle w:val="8"/>
        <w:spacing w:line="360" w:lineRule="auto"/>
        <w:ind w:left="840" w:firstLine="0" w:firstLineChars="0"/>
        <w:jc w:val="left"/>
        <w:rPr>
          <w:sz w:val="24"/>
        </w:rPr>
      </w:pPr>
    </w:p>
    <w:p w14:paraId="4AF9F9DC">
      <w:pPr>
        <w:spacing w:line="360" w:lineRule="auto"/>
        <w:ind w:firstLine="482" w:firstLineChars="20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（三）会议论文集</w:t>
      </w:r>
    </w:p>
    <w:p w14:paraId="2CAE9202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作者、译者：《文章名》，《文集名》，会址，开会年，出版社与出版时间。</w:t>
      </w:r>
    </w:p>
    <w:p w14:paraId="2B5C38B1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具体注释体例：</w:t>
      </w:r>
    </w:p>
    <w:p w14:paraId="4A18A0BD">
      <w:pPr>
        <w:pStyle w:val="8"/>
        <w:numPr>
          <w:ilvl w:val="0"/>
          <w:numId w:val="3"/>
        </w:numPr>
        <w:spacing w:line="360" w:lineRule="auto"/>
        <w:ind w:firstLineChars="0"/>
        <w:jc w:val="left"/>
        <w:rPr>
          <w:sz w:val="24"/>
        </w:rPr>
      </w:pPr>
      <w:r>
        <w:rPr>
          <w:rFonts w:hint="eastAsia"/>
          <w:sz w:val="24"/>
        </w:rPr>
        <w:t>杨建顺：《论政府职能转变与建设和谐社会》，《行政管理体制改革的法律问题（中国法学会行政法学研究会2006年年会论文集）》，中国政法大学出版社2007年，第</w:t>
      </w:r>
      <w:r>
        <w:rPr>
          <w:sz w:val="24"/>
        </w:rPr>
        <w:t>96</w:t>
      </w:r>
      <w:r>
        <w:rPr>
          <w:rFonts w:hint="eastAsia"/>
          <w:sz w:val="24"/>
        </w:rPr>
        <w:t>页。</w:t>
      </w:r>
    </w:p>
    <w:p w14:paraId="02D73F23">
      <w:pPr>
        <w:pStyle w:val="8"/>
        <w:numPr>
          <w:ilvl w:val="0"/>
          <w:numId w:val="3"/>
        </w:numPr>
        <w:spacing w:line="360" w:lineRule="auto"/>
        <w:ind w:firstLineChars="0"/>
        <w:jc w:val="left"/>
        <w:rPr>
          <w:sz w:val="24"/>
        </w:rPr>
      </w:pPr>
      <w:r>
        <w:rPr>
          <w:sz w:val="24"/>
        </w:rPr>
        <w:t>王保树：《股份有限公司机关构造中的董事和董事会》，载梁慧星主编：《民商法论丛》第1卷，法律出版社1994年版</w:t>
      </w:r>
      <w:r>
        <w:rPr>
          <w:rFonts w:hint="eastAsia"/>
          <w:sz w:val="24"/>
        </w:rPr>
        <w:t>，</w:t>
      </w:r>
      <w:r>
        <w:rPr>
          <w:sz w:val="24"/>
        </w:rPr>
        <w:t>第110页。</w:t>
      </w:r>
    </w:p>
    <w:p w14:paraId="2F9E0241">
      <w:pPr>
        <w:pStyle w:val="8"/>
        <w:numPr>
          <w:ilvl w:val="0"/>
          <w:numId w:val="3"/>
        </w:numPr>
        <w:spacing w:line="360" w:lineRule="auto"/>
        <w:ind w:firstLineChars="0"/>
        <w:jc w:val="left"/>
        <w:rPr>
          <w:sz w:val="24"/>
        </w:rPr>
      </w:pPr>
      <w:r>
        <w:rPr>
          <w:sz w:val="24"/>
        </w:rPr>
        <w:t>[美]欧中坦</w:t>
      </w:r>
      <w:r>
        <w:rPr>
          <w:rFonts w:hint="eastAsia"/>
          <w:sz w:val="24"/>
        </w:rPr>
        <w:t>、</w:t>
      </w:r>
      <w:r>
        <w:rPr>
          <w:sz w:val="24"/>
        </w:rPr>
        <w:t>谢鹏程译：《千方百计上京城：清朝的京控》，载高道蕴等编：《美国学者论中国法律传统》，中国政法大学出版社1994年版。</w:t>
      </w:r>
    </w:p>
    <w:p w14:paraId="796A8AD6">
      <w:pPr>
        <w:spacing w:line="360" w:lineRule="auto"/>
        <w:ind w:firstLine="482" w:firstLineChars="200"/>
        <w:jc w:val="left"/>
        <w:rPr>
          <w:b/>
          <w:bCs/>
          <w:sz w:val="24"/>
        </w:rPr>
      </w:pPr>
    </w:p>
    <w:p w14:paraId="718AD5D8">
      <w:pPr>
        <w:spacing w:line="360" w:lineRule="auto"/>
        <w:ind w:firstLine="482" w:firstLineChars="20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（四）译作类</w:t>
      </w:r>
    </w:p>
    <w:p w14:paraId="359FEB2D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作者：《文章名》，译者，出版社 出版时间。</w:t>
      </w:r>
    </w:p>
    <w:p w14:paraId="3DAEB0F8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具体注释体例：</w:t>
      </w:r>
    </w:p>
    <w:p w14:paraId="3829B829">
      <w:pPr>
        <w:pStyle w:val="8"/>
        <w:numPr>
          <w:ilvl w:val="0"/>
          <w:numId w:val="4"/>
        </w:numPr>
        <w:spacing w:line="360" w:lineRule="auto"/>
        <w:ind w:firstLine="480"/>
        <w:jc w:val="lef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[法]卢梭：《社会契约论》，何兆武译，商务印书馆1980年版，第55页。</w:t>
      </w:r>
    </w:p>
    <w:p w14:paraId="2E7C8232">
      <w:pPr>
        <w:pStyle w:val="8"/>
        <w:numPr>
          <w:ilvl w:val="0"/>
          <w:numId w:val="4"/>
        </w:numPr>
        <w:spacing w:line="360" w:lineRule="auto"/>
        <w:ind w:firstLine="480"/>
        <w:jc w:val="lef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[以]Gabriel Hallevy：《人工智能实体的刑事责任——从科幻小说到法律的社会控制》，金泽刚、赵增田译，载《刑法论丛》2020年第3期，第204页。</w:t>
      </w:r>
    </w:p>
    <w:p w14:paraId="75B744E6">
      <w:pPr>
        <w:numPr>
          <w:ilvl w:val="0"/>
          <w:numId w:val="4"/>
        </w:numPr>
        <w:spacing w:line="360" w:lineRule="auto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[美]富勒：《法律的道德性》，郑戈译，商务印书馆2005年版。</w:t>
      </w:r>
    </w:p>
    <w:p w14:paraId="62F17AFD">
      <w:pPr>
        <w:spacing w:line="360" w:lineRule="auto"/>
        <w:jc w:val="left"/>
        <w:rPr>
          <w:sz w:val="24"/>
        </w:rPr>
      </w:pPr>
    </w:p>
    <w:p w14:paraId="6F886B53">
      <w:pPr>
        <w:spacing w:line="360" w:lineRule="auto"/>
        <w:ind w:firstLine="482" w:firstLineChars="200"/>
        <w:jc w:val="left"/>
        <w:rPr>
          <w:sz w:val="24"/>
        </w:rPr>
      </w:pPr>
      <w:r>
        <w:rPr>
          <w:rFonts w:hint="eastAsia"/>
          <w:b/>
          <w:bCs/>
          <w:sz w:val="24"/>
        </w:rPr>
        <w:t>（五）报纸类</w:t>
      </w:r>
    </w:p>
    <w:p w14:paraId="0BD7367C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作者：《文章题目》，《报纸名称》年月日及版数</w:t>
      </w:r>
    </w:p>
    <w:p w14:paraId="5D22EC69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具体注释体例：</w:t>
      </w:r>
    </w:p>
    <w:p w14:paraId="6C838F87">
      <w:pPr>
        <w:numPr>
          <w:ilvl w:val="0"/>
          <w:numId w:val="5"/>
        </w:numPr>
        <w:spacing w:line="360" w:lineRule="auto"/>
        <w:ind w:firstLine="480" w:firstLineChars="200"/>
        <w:jc w:val="left"/>
        <w:rPr>
          <w:sz w:val="24"/>
        </w:rPr>
      </w:pPr>
      <w:r>
        <w:rPr>
          <w:sz w:val="24"/>
        </w:rPr>
        <w:t xml:space="preserve">何海波：《判决书上网》，载《法制日报》2000年5月21日第2版。 </w:t>
      </w:r>
    </w:p>
    <w:p w14:paraId="2B280CF1">
      <w:pPr>
        <w:numPr>
          <w:ilvl w:val="0"/>
          <w:numId w:val="5"/>
        </w:num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周扬：《三次伟大的思想解放运动》，载《人民日报》1979年5月7日第1版。</w:t>
      </w:r>
    </w:p>
    <w:p w14:paraId="36FA6893">
      <w:pPr>
        <w:spacing w:line="360" w:lineRule="auto"/>
        <w:jc w:val="left"/>
        <w:rPr>
          <w:sz w:val="24"/>
        </w:rPr>
      </w:pPr>
    </w:p>
    <w:p w14:paraId="3CDB48DA">
      <w:pPr>
        <w:spacing w:line="360" w:lineRule="auto"/>
        <w:ind w:firstLine="482" w:firstLineChars="200"/>
        <w:jc w:val="left"/>
        <w:rPr>
          <w:sz w:val="24"/>
        </w:rPr>
      </w:pPr>
      <w:r>
        <w:rPr>
          <w:rFonts w:hint="eastAsia"/>
          <w:b/>
          <w:bCs/>
          <w:sz w:val="24"/>
        </w:rPr>
        <w:t>（六）古籍类</w:t>
      </w:r>
      <w:r>
        <w:rPr>
          <w:rFonts w:hint="eastAsia"/>
          <w:sz w:val="24"/>
        </w:rPr>
        <w:t xml:space="preserve"> </w:t>
      </w:r>
    </w:p>
    <w:p w14:paraId="3ED39EE5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 w:ascii="宋体" w:hAnsi="宋体"/>
          <w:sz w:val="24"/>
        </w:rPr>
        <w:t>古籍名称</w:t>
      </w:r>
    </w:p>
    <w:p w14:paraId="7F1F0FBF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具体注释体例：</w:t>
      </w:r>
    </w:p>
    <w:p w14:paraId="578C0A37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《史记•秦始皇本纪》。</w:t>
      </w:r>
    </w:p>
    <w:p w14:paraId="2B7762A5">
      <w:pPr>
        <w:spacing w:line="360" w:lineRule="auto"/>
        <w:ind w:firstLine="480" w:firstLineChars="200"/>
        <w:jc w:val="left"/>
        <w:rPr>
          <w:sz w:val="24"/>
        </w:rPr>
      </w:pPr>
    </w:p>
    <w:p w14:paraId="41649943">
      <w:pPr>
        <w:spacing w:line="360" w:lineRule="auto"/>
        <w:ind w:firstLine="482" w:firstLineChars="200"/>
        <w:jc w:val="left"/>
        <w:rPr>
          <w:sz w:val="24"/>
        </w:rPr>
      </w:pPr>
      <w:r>
        <w:rPr>
          <w:rFonts w:hint="eastAsia"/>
          <w:b/>
          <w:bCs/>
          <w:sz w:val="24"/>
        </w:rPr>
        <w:t xml:space="preserve">（七）辞书类 </w:t>
      </w:r>
    </w:p>
    <w:p w14:paraId="538F6317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 w:ascii="宋体" w:hAnsi="宋体"/>
          <w:sz w:val="24"/>
        </w:rPr>
        <w:t>《书籍名称》，</w:t>
      </w:r>
      <w:r>
        <w:rPr>
          <w:rFonts w:hint="eastAsia"/>
          <w:sz w:val="24"/>
        </w:rPr>
        <w:t>出版社与年份</w:t>
      </w:r>
    </w:p>
    <w:p w14:paraId="082EFE67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具体注释体例：</w:t>
      </w:r>
    </w:p>
    <w:p w14:paraId="5249E9E0">
      <w:pPr>
        <w:pStyle w:val="8"/>
        <w:numPr>
          <w:ilvl w:val="0"/>
          <w:numId w:val="6"/>
        </w:numPr>
        <w:spacing w:line="360" w:lineRule="auto"/>
        <w:ind w:firstLineChars="0"/>
        <w:jc w:val="left"/>
        <w:rPr>
          <w:sz w:val="24"/>
        </w:rPr>
      </w:pPr>
      <w:r>
        <w:rPr>
          <w:sz w:val="24"/>
        </w:rPr>
        <w:t>《新英汉法律词典》，法律出版社1998年版，第24页。</w:t>
      </w:r>
    </w:p>
    <w:p w14:paraId="1EE04DC0">
      <w:pPr>
        <w:pStyle w:val="8"/>
        <w:numPr>
          <w:ilvl w:val="0"/>
          <w:numId w:val="6"/>
        </w:numPr>
        <w:spacing w:line="360" w:lineRule="auto"/>
        <w:ind w:firstLineChars="0"/>
        <w:jc w:val="left"/>
        <w:rPr>
          <w:sz w:val="24"/>
        </w:rPr>
      </w:pPr>
      <w:r>
        <w:rPr>
          <w:rFonts w:hint="eastAsia"/>
          <w:sz w:val="24"/>
        </w:rPr>
        <w:t>《辞海》，上海辞书出版社1979年。</w:t>
      </w:r>
    </w:p>
    <w:p w14:paraId="78819A7F">
      <w:pPr>
        <w:spacing w:line="360" w:lineRule="auto"/>
        <w:jc w:val="left"/>
        <w:rPr>
          <w:sz w:val="24"/>
        </w:rPr>
      </w:pPr>
    </w:p>
    <w:p w14:paraId="3B22D87B">
      <w:pPr>
        <w:spacing w:line="360" w:lineRule="auto"/>
        <w:ind w:firstLine="482" w:firstLineChars="200"/>
        <w:jc w:val="left"/>
        <w:rPr>
          <w:sz w:val="24"/>
        </w:rPr>
      </w:pPr>
      <w:r>
        <w:rPr>
          <w:rFonts w:hint="eastAsia"/>
          <w:b/>
          <w:bCs/>
          <w:sz w:val="24"/>
        </w:rPr>
        <w:t xml:space="preserve">（八）外文类（英文报刊文章和书籍） </w:t>
      </w:r>
    </w:p>
    <w:p w14:paraId="27DE3E2E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注意：依从该文种注释习惯</w:t>
      </w:r>
    </w:p>
    <w:p w14:paraId="16953362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具体注释体例：</w:t>
      </w:r>
    </w:p>
    <w:p w14:paraId="1357C41D">
      <w:pPr>
        <w:numPr>
          <w:ilvl w:val="0"/>
          <w:numId w:val="7"/>
        </w:num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Charles A. Reich, </w:t>
      </w:r>
      <w:r>
        <w:rPr>
          <w:rFonts w:ascii="Times New Roman Italic" w:hAnsi="Times New Roman Italic" w:cs="Times New Roman Italic"/>
          <w:i/>
          <w:iCs/>
          <w:sz w:val="24"/>
        </w:rPr>
        <w:t>The New Property</w:t>
      </w:r>
      <w:r>
        <w:rPr>
          <w:rFonts w:hint="eastAsia"/>
          <w:sz w:val="24"/>
        </w:rPr>
        <w:t xml:space="preserve">, 73 Yale Law Journal 733, </w:t>
      </w:r>
    </w:p>
    <w:p w14:paraId="4CBA295F">
      <w:pPr>
        <w:spacing w:line="360" w:lineRule="auto"/>
        <w:ind w:firstLine="960" w:firstLineChars="400"/>
        <w:rPr>
          <w:sz w:val="24"/>
        </w:rPr>
      </w:pPr>
      <w:r>
        <w:rPr>
          <w:rFonts w:hint="eastAsia"/>
          <w:sz w:val="24"/>
        </w:rPr>
        <w:t>737-38(1964).</w:t>
      </w:r>
    </w:p>
    <w:p w14:paraId="4ABBC30D">
      <w:pPr>
        <w:numPr>
          <w:ilvl w:val="0"/>
          <w:numId w:val="7"/>
        </w:num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Louis D. Brandeis, </w:t>
      </w:r>
      <w:r>
        <w:rPr>
          <w:rFonts w:ascii="Times New Roman Italic" w:hAnsi="Times New Roman Italic" w:cs="Times New Roman Italic"/>
          <w:i/>
          <w:iCs/>
          <w:sz w:val="24"/>
        </w:rPr>
        <w:t>What Publicity Can Do</w:t>
      </w:r>
      <w:r>
        <w:rPr>
          <w:rFonts w:hint="eastAsia"/>
          <w:sz w:val="24"/>
        </w:rPr>
        <w:t xml:space="preserve">, Harper's Weekly, Dec. 20, </w:t>
      </w:r>
    </w:p>
    <w:p w14:paraId="69AB96FE">
      <w:pPr>
        <w:spacing w:line="360" w:lineRule="auto"/>
        <w:ind w:firstLine="960" w:firstLineChars="400"/>
        <w:rPr>
          <w:sz w:val="24"/>
        </w:rPr>
      </w:pPr>
      <w:r>
        <w:rPr>
          <w:rFonts w:hint="eastAsia"/>
          <w:sz w:val="24"/>
        </w:rPr>
        <w:t>1913, p.10.</w:t>
      </w:r>
    </w:p>
    <w:p w14:paraId="5977C4AA">
      <w:pPr>
        <w:numPr>
          <w:ilvl w:val="0"/>
          <w:numId w:val="7"/>
        </w:numPr>
        <w:spacing w:line="360" w:lineRule="auto"/>
        <w:ind w:firstLine="480" w:firstLineChars="200"/>
        <w:rPr>
          <w:rFonts w:ascii="Times New Roman Italic" w:hAnsi="Times New Roman Italic" w:cs="Times New Roman Italic"/>
          <w:i/>
          <w:iCs/>
          <w:sz w:val="24"/>
        </w:rPr>
      </w:pPr>
      <w:r>
        <w:rPr>
          <w:rFonts w:hint="eastAsia"/>
          <w:sz w:val="24"/>
        </w:rPr>
        <w:t xml:space="preserve">William Alford, </w:t>
      </w:r>
      <w:r>
        <w:rPr>
          <w:rFonts w:ascii="Times New Roman Italic" w:hAnsi="Times New Roman Italic" w:cs="Times New Roman Italic"/>
          <w:i/>
          <w:iCs/>
          <w:sz w:val="24"/>
        </w:rPr>
        <w:t xml:space="preserve">To Steal a Book is an Elegant Offense: Intellectual </w:t>
      </w:r>
    </w:p>
    <w:p w14:paraId="0E4A43AF">
      <w:pPr>
        <w:spacing w:line="360" w:lineRule="auto"/>
        <w:ind w:firstLine="960" w:firstLineChars="400"/>
        <w:rPr>
          <w:sz w:val="24"/>
        </w:rPr>
      </w:pPr>
      <w:r>
        <w:rPr>
          <w:rFonts w:ascii="Times New Roman Italic" w:hAnsi="Times New Roman Italic" w:cs="Times New Roman Italic"/>
          <w:i/>
          <w:iCs/>
          <w:sz w:val="24"/>
        </w:rPr>
        <w:t>Property Law in Chinese Civilization</w:t>
      </w:r>
      <w:r>
        <w:rPr>
          <w:rFonts w:hint="eastAsia"/>
          <w:sz w:val="24"/>
        </w:rPr>
        <w:t xml:space="preserve">, Stanford University Press, 1995, </w:t>
      </w:r>
    </w:p>
    <w:p w14:paraId="4D13C0FE">
      <w:pPr>
        <w:spacing w:line="360" w:lineRule="auto"/>
        <w:ind w:firstLine="960" w:firstLineChars="400"/>
        <w:rPr>
          <w:sz w:val="24"/>
        </w:rPr>
      </w:pPr>
      <w:r>
        <w:rPr>
          <w:rFonts w:hint="eastAsia"/>
          <w:sz w:val="24"/>
        </w:rPr>
        <w:t>p.98.</w:t>
      </w:r>
    </w:p>
    <w:p w14:paraId="2E2CB718">
      <w:pPr>
        <w:spacing w:line="360" w:lineRule="auto"/>
        <w:ind w:firstLine="482" w:firstLineChars="200"/>
        <w:jc w:val="left"/>
        <w:rPr>
          <w:b/>
          <w:bCs/>
          <w:sz w:val="24"/>
        </w:rPr>
      </w:pPr>
    </w:p>
    <w:p w14:paraId="68EB77EE">
      <w:pPr>
        <w:spacing w:line="360" w:lineRule="auto"/>
        <w:ind w:firstLine="482" w:firstLineChars="20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（九）网站类</w:t>
      </w:r>
    </w:p>
    <w:p w14:paraId="02B444BC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作者或译者：《文章题目》，发表时间，网站名称（网址），访问时间。</w:t>
      </w:r>
    </w:p>
    <w:p w14:paraId="644C1D90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注意事项：</w:t>
      </w:r>
    </w:p>
    <w:p w14:paraId="2FF6773E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⑴“发表时间”是指参考文献所在网站上显示的文献发表时间。</w:t>
      </w:r>
    </w:p>
    <w:p w14:paraId="319B63C8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⑵“访问时间”指写作论文期间学生登录相应网站查看参考文献的时间。</w:t>
      </w:r>
    </w:p>
    <w:p w14:paraId="33B60D40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具体注释体例：</w:t>
      </w:r>
    </w:p>
    <w:p w14:paraId="7030EA7C">
      <w:pPr>
        <w:pStyle w:val="8"/>
        <w:numPr>
          <w:ilvl w:val="0"/>
          <w:numId w:val="8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赵志刚：《国庆假期出游六大旅游骗局要警惕》，载人民网2021年9月27日，http://society.people.com.cn/n1/2021/0927/c1008-32238063.html，2021年11月24日访问。</w:t>
      </w:r>
    </w:p>
    <w:p w14:paraId="28FFBAC5">
      <w:pPr>
        <w:pStyle w:val="8"/>
        <w:numPr>
          <w:ilvl w:val="0"/>
          <w:numId w:val="8"/>
        </w:numPr>
        <w:spacing w:line="360" w:lineRule="auto"/>
        <w:ind w:firstLineChars="0"/>
        <w:rPr>
          <w:sz w:val="24"/>
        </w:rPr>
      </w:pPr>
      <w:r>
        <w:rPr>
          <w:sz w:val="24"/>
        </w:rPr>
        <w:t>汪波：《哈尔滨市政法机关正对</w:t>
      </w:r>
      <w:r>
        <w:rPr>
          <w:rFonts w:hint="eastAsia"/>
          <w:sz w:val="24"/>
        </w:rPr>
        <w:t>“</w:t>
      </w:r>
      <w:r>
        <w:rPr>
          <w:sz w:val="24"/>
        </w:rPr>
        <w:t>宝马案</w:t>
      </w:r>
      <w:r>
        <w:rPr>
          <w:rFonts w:hint="eastAsia"/>
          <w:sz w:val="24"/>
        </w:rPr>
        <w:t>”</w:t>
      </w:r>
      <w:r>
        <w:rPr>
          <w:sz w:val="24"/>
        </w:rPr>
        <w:t>认真调查复查》，载人民网2004 年1月10日</w:t>
      </w:r>
      <w:r>
        <w:rPr>
          <w:rFonts w:hint="eastAsia"/>
          <w:sz w:val="24"/>
        </w:rPr>
        <w:t>，</w:t>
      </w:r>
      <w:r>
        <w:fldChar w:fldCharType="begin"/>
      </w:r>
      <w:r>
        <w:instrText xml:space="preserve"> HYPERLINK "http://www.people.com.cn/GB/shehui/1062/2289764.html" </w:instrText>
      </w:r>
      <w:r>
        <w:fldChar w:fldCharType="separate"/>
      </w:r>
      <w:r>
        <w:rPr>
          <w:sz w:val="24"/>
        </w:rPr>
        <w:t>http://www.people.com.cn/GB/shehui/1062/2289764.html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fldChar w:fldCharType="end"/>
      </w:r>
      <w:r>
        <w:rPr>
          <w:rFonts w:hint="eastAsia"/>
          <w:sz w:val="24"/>
        </w:rPr>
        <w:t>2006年1月</w:t>
      </w:r>
      <w:r>
        <w:rPr>
          <w:sz w:val="24"/>
        </w:rPr>
        <w:t>16</w:t>
      </w:r>
      <w:r>
        <w:rPr>
          <w:rFonts w:hint="eastAsia"/>
          <w:sz w:val="24"/>
        </w:rPr>
        <w:t>日访问。</w:t>
      </w:r>
    </w:p>
    <w:p w14:paraId="74045213">
      <w:pPr>
        <w:pStyle w:val="8"/>
        <w:numPr>
          <w:ilvl w:val="0"/>
          <w:numId w:val="8"/>
        </w:numPr>
        <w:spacing w:line="360" w:lineRule="auto"/>
        <w:ind w:firstLineChars="0"/>
        <w:rPr>
          <w:sz w:val="24"/>
        </w:rPr>
      </w:pPr>
      <w:r>
        <w:rPr>
          <w:sz w:val="24"/>
        </w:rPr>
        <w:t>赵耀彤：《一名基层法官眼里好律师的样子》，载微信公众号</w:t>
      </w:r>
      <w:r>
        <w:rPr>
          <w:rFonts w:hint="eastAsia"/>
          <w:sz w:val="24"/>
        </w:rPr>
        <w:t>“</w:t>
      </w:r>
      <w:r>
        <w:rPr>
          <w:sz w:val="24"/>
        </w:rPr>
        <w:t>中国法律评论</w:t>
      </w:r>
      <w:r>
        <w:rPr>
          <w:rFonts w:hint="eastAsia"/>
          <w:sz w:val="24"/>
        </w:rPr>
        <w:t>”</w:t>
      </w:r>
      <w:r>
        <w:rPr>
          <w:sz w:val="24"/>
        </w:rPr>
        <w:t>，2018年12月1日。</w:t>
      </w:r>
    </w:p>
    <w:p w14:paraId="4C275B4E">
      <w:pPr>
        <w:pStyle w:val="8"/>
        <w:numPr>
          <w:ilvl w:val="0"/>
          <w:numId w:val="8"/>
        </w:numPr>
        <w:spacing w:line="360" w:lineRule="auto"/>
        <w:ind w:firstLineChars="0"/>
        <w:rPr>
          <w:sz w:val="24"/>
        </w:rPr>
      </w:pPr>
      <w:r>
        <w:rPr>
          <w:sz w:val="24"/>
        </w:rPr>
        <w:t>《温家宝主持国务院会议 研究房地产业健康发展措施》，载新华网，</w:t>
      </w:r>
      <w:r>
        <w:fldChar w:fldCharType="begin"/>
      </w:r>
      <w:r>
        <w:instrText xml:space="preserve"> HYPERLINK "http://news.xinhuanet.com/newscenter/2006-05/17/content_4562304.htm" </w:instrText>
      </w:r>
      <w:r>
        <w:fldChar w:fldCharType="separate"/>
      </w:r>
      <w:r>
        <w:rPr>
          <w:rStyle w:val="5"/>
          <w:sz w:val="24"/>
        </w:rPr>
        <w:t>http://news.xinhuanet.com/newscenter/2006-05/17/content_4562304.htm</w:t>
      </w:r>
      <w:r>
        <w:rPr>
          <w:rStyle w:val="5"/>
          <w:sz w:val="24"/>
        </w:rPr>
        <w:fldChar w:fldCharType="end"/>
      </w:r>
      <w:r>
        <w:rPr>
          <w:rFonts w:hint="eastAsia"/>
          <w:sz w:val="24"/>
        </w:rPr>
        <w:t>，20</w:t>
      </w:r>
      <w:r>
        <w:rPr>
          <w:sz w:val="24"/>
        </w:rPr>
        <w:t>18</w:t>
      </w:r>
      <w:r>
        <w:rPr>
          <w:rFonts w:hint="eastAsia"/>
          <w:sz w:val="24"/>
        </w:rPr>
        <w:t>年</w:t>
      </w:r>
      <w:r>
        <w:rPr>
          <w:sz w:val="24"/>
        </w:rPr>
        <w:t>8</w:t>
      </w:r>
      <w:r>
        <w:rPr>
          <w:rFonts w:hint="eastAsia"/>
          <w:sz w:val="24"/>
        </w:rPr>
        <w:t>月</w:t>
      </w:r>
      <w:r>
        <w:rPr>
          <w:sz w:val="24"/>
        </w:rPr>
        <w:t>6</w:t>
      </w:r>
      <w:r>
        <w:rPr>
          <w:rFonts w:hint="eastAsia"/>
          <w:sz w:val="24"/>
        </w:rPr>
        <w:t>日访问。</w:t>
      </w:r>
    </w:p>
    <w:p w14:paraId="3A58D5B0">
      <w:pPr>
        <w:pStyle w:val="8"/>
        <w:numPr>
          <w:ilvl w:val="0"/>
          <w:numId w:val="8"/>
        </w:numPr>
        <w:spacing w:line="360" w:lineRule="auto"/>
        <w:ind w:firstLineChars="0"/>
        <w:rPr>
          <w:sz w:val="24"/>
        </w:rPr>
      </w:pPr>
      <w:r>
        <w:rPr>
          <w:sz w:val="24"/>
        </w:rPr>
        <w:t>参见法国行政法院网站</w:t>
      </w:r>
      <w:r>
        <w:rPr>
          <w:rFonts w:hint="eastAsia"/>
          <w:sz w:val="24"/>
        </w:rPr>
        <w:t>，</w:t>
      </w:r>
      <w:r>
        <w:fldChar w:fldCharType="begin"/>
      </w:r>
      <w:r>
        <w:instrText xml:space="preserve"> HYPERLINK "http://english.conseil-etat.fr/Judging" </w:instrText>
      </w:r>
      <w:r>
        <w:fldChar w:fldCharType="separate"/>
      </w:r>
      <w:r>
        <w:rPr>
          <w:sz w:val="24"/>
        </w:rPr>
        <w:t>http://english.conseil-</w:t>
      </w:r>
      <w:r>
        <w:rPr>
          <w:sz w:val="24"/>
        </w:rPr>
        <w:fldChar w:fldCharType="end"/>
      </w:r>
      <w:r>
        <w:fldChar w:fldCharType="begin"/>
      </w:r>
      <w:r>
        <w:instrText xml:space="preserve"> HYPERLINK "http://english.conseil-etat.fr/Judging" </w:instrText>
      </w:r>
      <w:r>
        <w:fldChar w:fldCharType="separate"/>
      </w:r>
      <w:r>
        <w:rPr>
          <w:sz w:val="24"/>
        </w:rPr>
        <w:t>etat.fr/Judging</w:t>
      </w:r>
      <w:r>
        <w:rPr>
          <w:sz w:val="24"/>
        </w:rPr>
        <w:fldChar w:fldCharType="end"/>
      </w:r>
      <w:r>
        <w:rPr>
          <w:rFonts w:hint="eastAsia"/>
          <w:sz w:val="24"/>
        </w:rPr>
        <w:t>，</w:t>
      </w:r>
      <w:r>
        <w:rPr>
          <w:sz w:val="24"/>
        </w:rPr>
        <w:t>2016年12月18日访问</w:t>
      </w:r>
      <w:r>
        <w:rPr>
          <w:rFonts w:hint="eastAsia"/>
          <w:sz w:val="24"/>
        </w:rPr>
        <w:t>。</w:t>
      </w:r>
    </w:p>
    <w:p w14:paraId="402E5621">
      <w:pPr>
        <w:pStyle w:val="8"/>
        <w:spacing w:line="360" w:lineRule="auto"/>
        <w:ind w:firstLine="0" w:firstLineChars="0"/>
        <w:rPr>
          <w:sz w:val="24"/>
        </w:rPr>
      </w:pPr>
    </w:p>
    <w:p w14:paraId="7629CF86">
      <w:pPr>
        <w:pStyle w:val="8"/>
        <w:spacing w:line="360" w:lineRule="auto"/>
        <w:ind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（十）学位论文类</w:t>
      </w:r>
    </w:p>
    <w:p w14:paraId="0D476C1C">
      <w:pPr>
        <w:spacing w:line="360" w:lineRule="auto"/>
        <w:ind w:firstLine="480" w:firstLineChars="200"/>
        <w:jc w:val="left"/>
        <w:rPr>
          <w:b/>
          <w:bCs/>
          <w:sz w:val="24"/>
        </w:rPr>
      </w:pPr>
      <w:r>
        <w:rPr>
          <w:rFonts w:hint="eastAsia"/>
          <w:sz w:val="24"/>
        </w:rPr>
        <w:t>具体注释体例：</w:t>
      </w:r>
    </w:p>
    <w:p w14:paraId="510673FA">
      <w:pPr>
        <w:numPr>
          <w:ilvl w:val="0"/>
          <w:numId w:val="9"/>
        </w:num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李松锋：《游走在上帝与凯撒之间：美国宪法第一修正案中的政教关系研究》，中国政法大学2015年博士学位论文。</w:t>
      </w:r>
    </w:p>
    <w:p w14:paraId="769A550E">
      <w:pPr>
        <w:numPr>
          <w:ilvl w:val="0"/>
          <w:numId w:val="9"/>
        </w:num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马珠芳：《萨维尼国际私法理论探析》，南京师范大学2006年硕士学位论文，第5-9页。</w:t>
      </w:r>
    </w:p>
    <w:p w14:paraId="21BB0E5A">
      <w:pPr>
        <w:numPr>
          <w:ilvl w:val="0"/>
          <w:numId w:val="9"/>
        </w:num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齐树洁：《民事上诉制度研究》，西南政法大学2003年博士学位论文，第9页。</w:t>
      </w:r>
    </w:p>
    <w:p w14:paraId="304213D4">
      <w:pPr>
        <w:spacing w:line="360" w:lineRule="auto"/>
        <w:ind w:firstLine="480" w:firstLineChars="200"/>
        <w:jc w:val="left"/>
        <w:rPr>
          <w:sz w:val="24"/>
        </w:rPr>
      </w:pPr>
    </w:p>
    <w:p w14:paraId="7D09C1B0">
      <w:pPr>
        <w:pStyle w:val="8"/>
        <w:spacing w:line="360" w:lineRule="auto"/>
        <w:ind w:firstLine="482"/>
        <w:rPr>
          <w:sz w:val="24"/>
        </w:rPr>
      </w:pPr>
      <w:r>
        <w:rPr>
          <w:rFonts w:hint="eastAsia"/>
          <w:b/>
          <w:bCs/>
          <w:sz w:val="24"/>
        </w:rPr>
        <w:t>（十一）法律文件类</w:t>
      </w:r>
    </w:p>
    <w:p w14:paraId="58B85E59">
      <w:pPr>
        <w:numPr>
          <w:ilvl w:val="0"/>
          <w:numId w:val="10"/>
        </w:num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《民法总则》第27条第2款第3项。</w:t>
      </w:r>
    </w:p>
    <w:p w14:paraId="6E2BFB58">
      <w:pPr>
        <w:numPr>
          <w:ilvl w:val="0"/>
          <w:numId w:val="10"/>
        </w:num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《国务院关于在全国建立农村最低生活保障制度的通知》，国发〔2007〕</w:t>
      </w:r>
    </w:p>
    <w:p w14:paraId="3A2B6637">
      <w:pPr>
        <w:spacing w:line="360" w:lineRule="auto"/>
        <w:ind w:firstLine="960" w:firstLineChars="400"/>
        <w:rPr>
          <w:sz w:val="24"/>
        </w:rPr>
      </w:pPr>
      <w:r>
        <w:rPr>
          <w:rFonts w:hint="eastAsia"/>
          <w:sz w:val="24"/>
        </w:rPr>
        <w:t>19号，2007年7月11日发布。</w:t>
      </w:r>
    </w:p>
    <w:p w14:paraId="714F4901">
      <w:pPr>
        <w:spacing w:line="360" w:lineRule="auto"/>
        <w:ind w:firstLine="960" w:firstLineChars="400"/>
        <w:rPr>
          <w:sz w:val="24"/>
        </w:rPr>
      </w:pPr>
    </w:p>
    <w:p w14:paraId="7238C8D7">
      <w:pPr>
        <w:spacing w:line="360" w:lineRule="auto"/>
        <w:ind w:left="420" w:leftChars="200"/>
        <w:jc w:val="left"/>
        <w:rPr>
          <w:sz w:val="24"/>
        </w:rPr>
      </w:pPr>
      <w:r>
        <w:rPr>
          <w:rFonts w:hint="eastAsia"/>
          <w:b/>
          <w:bCs/>
          <w:sz w:val="24"/>
        </w:rPr>
        <w:t>（十二）司法案例类</w:t>
      </w:r>
    </w:p>
    <w:p w14:paraId="57C8D696">
      <w:pPr>
        <w:numPr>
          <w:ilvl w:val="0"/>
          <w:numId w:val="11"/>
        </w:num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包郑照诉苍南县人民政府强制拆除房屋案，浙江省高级人民法院（1988），浙法民上字7号民事判决书。</w:t>
      </w:r>
    </w:p>
    <w:p w14:paraId="33BAB26C">
      <w:pPr>
        <w:numPr>
          <w:ilvl w:val="0"/>
          <w:numId w:val="11"/>
        </w:numPr>
        <w:spacing w:line="360" w:lineRule="auto"/>
        <w:ind w:firstLine="420" w:firstLineChars="200"/>
        <w:jc w:val="left"/>
        <w:rPr>
          <w:sz w:val="24"/>
        </w:rPr>
      </w:pPr>
      <w:r>
        <w:fldChar w:fldCharType="begin"/>
      </w:r>
      <w:r>
        <w:instrText xml:space="preserve"> HYPERLINK "http://law.wkinfo.com.cn/document/showCaseAnalysis?showType=0&amp;tokens=f1b8c295bfb35f50f58b183bc83dffe2&amp;language=1&amp;collection=caseAnalysis&amp;aid=MkExMDAwMDc5MDk%3D&amp;modules=&amp;bid=&amp;format=&amp;sysLang=zh_CN&amp;searchKeys=f1b8c295bfb35f50f58b183bc83dffe2" </w:instrText>
      </w:r>
      <w:r>
        <w:fldChar w:fldCharType="separate"/>
      </w:r>
      <w:r>
        <w:rPr>
          <w:rFonts w:hint="eastAsia"/>
          <w:sz w:val="24"/>
        </w:rPr>
        <w:t>陆红霞诉南通市发改委政府信息公开案</w:t>
      </w:r>
      <w:r>
        <w:rPr>
          <w:rFonts w:hint="eastAsia"/>
          <w:sz w:val="24"/>
        </w:rPr>
        <w:fldChar w:fldCharType="end"/>
      </w:r>
      <w:r>
        <w:rPr>
          <w:rFonts w:hint="eastAsia"/>
          <w:sz w:val="24"/>
        </w:rPr>
        <w:t>，《最高人民法院公报》2015</w:t>
      </w:r>
    </w:p>
    <w:p w14:paraId="6A1957C3">
      <w:pPr>
        <w:spacing w:line="360" w:lineRule="auto"/>
        <w:ind w:firstLine="960" w:firstLineChars="400"/>
        <w:jc w:val="left"/>
        <w:rPr>
          <w:sz w:val="24"/>
        </w:rPr>
      </w:pPr>
      <w:r>
        <w:rPr>
          <w:rFonts w:hint="eastAsia"/>
          <w:sz w:val="24"/>
        </w:rPr>
        <w:t>年第11期。</w:t>
      </w:r>
    </w:p>
    <w:p w14:paraId="4E298B2E"/>
    <w:p w14:paraId="2153E18E">
      <w:pPr>
        <w:rPr>
          <w:rFonts w:asciiTheme="minorEastAsia" w:hAnsiTheme="minorEastAsia" w:cstheme="minorEastAsia"/>
          <w:b/>
          <w:sz w:val="30"/>
          <w:szCs w:val="30"/>
        </w:rPr>
      </w:pPr>
      <w:r>
        <w:rPr>
          <w:rFonts w:asciiTheme="minorEastAsia" w:hAnsiTheme="minorEastAsia" w:cstheme="minorEastAsia"/>
          <w:b/>
          <w:sz w:val="30"/>
          <w:szCs w:val="30"/>
        </w:rPr>
        <w:t>三、参考文献格式规范</w:t>
      </w:r>
    </w:p>
    <w:p w14:paraId="17F08C63">
      <w:pPr>
        <w:ind w:firstLine="480" w:firstLineChars="200"/>
        <w:rPr>
          <w:sz w:val="24"/>
        </w:rPr>
      </w:pPr>
    </w:p>
    <w:p w14:paraId="5903ACE5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参考文献的格式规范与引注规范相同，应当区分不同文献类型进行列举，无须注明文献页码或访问时间。</w:t>
      </w:r>
    </w:p>
    <w:p w14:paraId="6BE7830A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sz w:val="24"/>
        </w:rPr>
        <w:t>参考文献的字体、行间距等其他规范要求，遵照学校的《本科毕业论文指导手册》执行。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Italic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689B2">
    <w:pPr>
      <w:spacing w:line="166" w:lineRule="auto"/>
      <w:ind w:left="418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EF341">
    <w:pPr>
      <w:spacing w:line="166" w:lineRule="auto"/>
      <w:ind w:left="4184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7C1C1A79">
      <w:pPr>
        <w:pStyle w:val="2"/>
        <w:jc w:val="both"/>
      </w:pPr>
      <w:r>
        <w:rPr>
          <w:rStyle w:val="6"/>
        </w:rPr>
        <w:footnoteRef/>
      </w:r>
      <w:r>
        <w:t xml:space="preserve"> 立法过程中的相关讨论和争鸣</w:t>
      </w:r>
      <w:r>
        <w:rPr>
          <w:rFonts w:hint="eastAsia"/>
        </w:rPr>
        <w:t>，</w:t>
      </w:r>
      <w:r>
        <w:t>参见金俊银、邱星美：《试论我国行政诉讼的范围》，载《西北政法学院学报》1988年第3期；姜明安、刘凤鸣：《行政诉讼立法的若干问题研究》，载《法律学习与研究》1988年第3期；肖峋：《行政诉讼受案范围的比较研究》，载《法律学习与研究》1988年第6期；张尚鷟：《试论我国的行政诉讼制度和行政诉讼法》，载《中国法学》1989年第1期；王名扬：《评行政诉讼法草案》，载《政法论坛》1989年第1期；俞梅荪、孙林：《行政诉讼法草案修改意见综述》，载《法制日报》1989年3月15日；张树义：《〈行政诉讼法（草案）〉若干争论问题再思考》，载《法学》1989年第3期。</w:t>
      </w:r>
    </w:p>
  </w:footnote>
  <w:footnote w:id="1">
    <w:p w14:paraId="4A7B0DA8">
      <w:pPr>
        <w:pStyle w:val="2"/>
        <w:jc w:val="both"/>
      </w:pPr>
      <w:r>
        <w:rPr>
          <w:rStyle w:val="6"/>
        </w:rPr>
        <w:footnoteRef/>
      </w:r>
      <w:r>
        <w:t xml:space="preserve"> 同上注。特别是俞梅荪、孙林文和张树义文，针对全国人大常委会公布的法律草案，明确主张采用概括式规定。</w:t>
      </w:r>
    </w:p>
  </w:footnote>
  <w:footnote w:id="2">
    <w:p w14:paraId="0C7FAED0">
      <w:pPr>
        <w:pStyle w:val="2"/>
        <w:jc w:val="both"/>
      </w:pPr>
      <w:r>
        <w:rPr>
          <w:rStyle w:val="6"/>
        </w:rPr>
        <w:footnoteRef/>
      </w:r>
      <w:r>
        <w:t xml:space="preserve"> 王汉斌</w:t>
      </w:r>
      <w:r>
        <w:rPr>
          <w:rFonts w:hint="eastAsia"/>
        </w:rPr>
        <w:t>：</w:t>
      </w:r>
      <w:r>
        <w:t>《关于〈中华人民共和国行政诉讼法（草案）〉的说明》，1989年3月28日在七届全国人大二次会议上。</w:t>
      </w:r>
    </w:p>
  </w:footnote>
  <w:footnote w:id="3">
    <w:p w14:paraId="1AC0947A">
      <w:pPr>
        <w:pStyle w:val="2"/>
        <w:jc w:val="both"/>
      </w:pPr>
      <w:r>
        <w:rPr>
          <w:rStyle w:val="6"/>
        </w:rPr>
        <w:footnoteRef/>
      </w:r>
      <w:r>
        <w:t xml:space="preserve"> 河南省高级人民法院：《充分发挥上级法院的监督指导作用 推动全省行政审判工作健康发展》，载最高人民法院行政审判庭编：《中国行政审判研讨――99’全国法院行政审判工作会议材料汇编》，人民法院出版社 2000年版</w:t>
      </w:r>
      <w:r>
        <w:rPr>
          <w:rFonts w:hint="eastAsia"/>
        </w:rPr>
        <w:t>。</w:t>
      </w:r>
    </w:p>
  </w:footnote>
  <w:footnote w:id="4">
    <w:p w14:paraId="1642E276">
      <w:pPr>
        <w:pStyle w:val="2"/>
        <w:jc w:val="both"/>
      </w:pPr>
      <w:r>
        <w:rPr>
          <w:rStyle w:val="6"/>
        </w:rPr>
        <w:footnoteRef/>
      </w:r>
      <w:r>
        <w:t xml:space="preserve"> Alexander Bickel, </w:t>
      </w:r>
      <w:r>
        <w:rPr>
          <w:rFonts w:ascii="Times New Roman Italic" w:hAnsi="Times New Roman Italic" w:cs="Times New Roman Italic"/>
          <w:i/>
          <w:iCs/>
        </w:rPr>
        <w:t>The Least Dangerous Branch: The Supreme Court at the Bar of Politics</w:t>
      </w:r>
      <w:r>
        <w:t>, Yale University Press, 1962, p.16-28.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7C458E"/>
    <w:multiLevelType w:val="singleLevel"/>
    <w:tmpl w:val="9A7C458E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BBEDC685"/>
    <w:multiLevelType w:val="singleLevel"/>
    <w:tmpl w:val="BBEDC685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  <w:i w:val="0"/>
      </w:rPr>
    </w:lvl>
  </w:abstractNum>
  <w:abstractNum w:abstractNumId="2">
    <w:nsid w:val="DFCF7289"/>
    <w:multiLevelType w:val="singleLevel"/>
    <w:tmpl w:val="DFCF7289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DFF888FA"/>
    <w:multiLevelType w:val="singleLevel"/>
    <w:tmpl w:val="DFF888FA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>
    <w:nsid w:val="EFFA9693"/>
    <w:multiLevelType w:val="singleLevel"/>
    <w:tmpl w:val="EFFA9693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>
    <w:nsid w:val="16F72C3B"/>
    <w:multiLevelType w:val="multilevel"/>
    <w:tmpl w:val="16F72C3B"/>
    <w:lvl w:ilvl="0" w:tentative="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47A26869"/>
    <w:multiLevelType w:val="multilevel"/>
    <w:tmpl w:val="47A26869"/>
    <w:lvl w:ilvl="0" w:tentative="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4A6D0E95"/>
    <w:multiLevelType w:val="multilevel"/>
    <w:tmpl w:val="4A6D0E95"/>
    <w:lvl w:ilvl="0" w:tentative="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4D016AFC"/>
    <w:multiLevelType w:val="multilevel"/>
    <w:tmpl w:val="4D016AFC"/>
    <w:lvl w:ilvl="0" w:tentative="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601E781B"/>
    <w:multiLevelType w:val="singleLevel"/>
    <w:tmpl w:val="601E781B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0">
    <w:nsid w:val="6C1E08A0"/>
    <w:multiLevelType w:val="multilevel"/>
    <w:tmpl w:val="6C1E08A0"/>
    <w:lvl w:ilvl="0" w:tentative="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10"/>
  </w:num>
  <w:num w:numId="7">
    <w:abstractNumId w:val="1"/>
  </w:num>
  <w:num w:numId="8">
    <w:abstractNumId w:val="7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10"/>
    <w:footnote w:id="1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2E"/>
    <w:rsid w:val="001F71CE"/>
    <w:rsid w:val="00292D2E"/>
    <w:rsid w:val="004D2559"/>
    <w:rsid w:val="006309E0"/>
    <w:rsid w:val="00753C88"/>
    <w:rsid w:val="007E4E42"/>
    <w:rsid w:val="007F183B"/>
    <w:rsid w:val="00AC0E8B"/>
    <w:rsid w:val="00C93812"/>
    <w:rsid w:val="00D523A3"/>
    <w:rsid w:val="00D823DB"/>
    <w:rsid w:val="00F268C2"/>
    <w:rsid w:val="00F43837"/>
    <w:rsid w:val="14A9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7"/>
    <w:semiHidden/>
    <w:uiPriority w:val="0"/>
    <w:pPr>
      <w:adjustRightInd w:val="0"/>
      <w:snapToGrid w:val="0"/>
      <w:jc w:val="left"/>
      <w:textAlignment w:val="baseline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footnote reference"/>
    <w:basedOn w:val="4"/>
    <w:semiHidden/>
    <w:unhideWhenUsed/>
    <w:uiPriority w:val="99"/>
    <w:rPr>
      <w:vertAlign w:val="superscript"/>
    </w:rPr>
  </w:style>
  <w:style w:type="character" w:customStyle="1" w:styleId="7">
    <w:name w:val="脚注文本 Char"/>
    <w:basedOn w:val="4"/>
    <w:link w:val="2"/>
    <w:semiHidden/>
    <w:uiPriority w:val="0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IT天空-www.itsk.com</Company>
  <Pages>12</Pages>
  <Words>5759</Words>
  <Characters>6839</Characters>
  <Lines>55</Lines>
  <Paragraphs>15</Paragraphs>
  <TotalTime>22</TotalTime>
  <ScaleCrop>false</ScaleCrop>
  <LinksUpToDate>false</LinksUpToDate>
  <CharactersWithSpaces>6990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2024-06-03T08:02:00Z</dcterms:created>
  <dc:creator>Windows 用户</dc:creator>
  <cp:lastModifiedBy>芬迪_冯</cp:lastModifiedBy>
  <dcterms:modified xsi:type="dcterms:W3CDTF">2025-05-14T02:39:20Z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653DA644C09149A2A5200909568D796F_13</vt:lpwstr>
  </property>
</Properties>
</file>