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1D24" w14:textId="77777777" w:rsidR="00592F75" w:rsidRPr="007175C4" w:rsidRDefault="00592F75" w:rsidP="007175C4">
      <w:pPr>
        <w:spacing w:line="360" w:lineRule="auto"/>
        <w:jc w:val="center"/>
        <w:rPr>
          <w:rFonts w:ascii="方正小标宋简体" w:eastAsia="方正小标宋简体" w:hint="eastAsia"/>
          <w:sz w:val="32"/>
          <w:szCs w:val="32"/>
        </w:rPr>
      </w:pPr>
      <w:r w:rsidRPr="007175C4">
        <w:rPr>
          <w:rFonts w:ascii="方正小标宋简体" w:eastAsia="方正小标宋简体" w:hint="eastAsia"/>
          <w:sz w:val="32"/>
          <w:szCs w:val="32"/>
        </w:rPr>
        <w:t>2025年度决策咨询研究市场监管专项课题申报通知</w:t>
      </w:r>
    </w:p>
    <w:p w14:paraId="0A8300A0" w14:textId="2BDF302D" w:rsidR="00592F75" w:rsidRPr="007175C4" w:rsidRDefault="00592F75" w:rsidP="007175C4">
      <w:pPr>
        <w:spacing w:beforeLines="50" w:before="156" w:line="360" w:lineRule="auto"/>
        <w:rPr>
          <w:rFonts w:ascii="仿宋_GB2312" w:eastAsia="仿宋_GB2312" w:hint="eastAsia"/>
          <w:sz w:val="28"/>
          <w:szCs w:val="28"/>
        </w:rPr>
      </w:pPr>
      <w:r w:rsidRPr="007175C4">
        <w:rPr>
          <w:rFonts w:ascii="仿宋_GB2312" w:eastAsia="仿宋_GB2312" w:hint="eastAsia"/>
          <w:sz w:val="28"/>
          <w:szCs w:val="28"/>
        </w:rPr>
        <w:t>各有关单位：</w:t>
      </w:r>
    </w:p>
    <w:p w14:paraId="5EBBC19B"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现将2025年度决策咨询研究市场监管专项课题面向社会公开征集研究团队。具体事项通知如下：</w:t>
      </w:r>
    </w:p>
    <w:p w14:paraId="63FF3C16"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一、申报目录</w:t>
      </w:r>
    </w:p>
    <w:p w14:paraId="51B0FD98"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1. 市场监管在推动上海城市发展与经济增长中的角色与作用研究</w:t>
      </w:r>
    </w:p>
    <w:p w14:paraId="0DFD95C0"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2. 非现场监管方式应用研究</w:t>
      </w:r>
    </w:p>
    <w:p w14:paraId="54669EF2"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3. 电商平台生态治理下平台协议规则规范研究</w:t>
      </w:r>
    </w:p>
    <w:p w14:paraId="7FEC8C97"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4. 餐饮食品安全非现场监管场景应用及制度研究</w:t>
      </w:r>
    </w:p>
    <w:p w14:paraId="30DA8587"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二、申报对象</w:t>
      </w:r>
    </w:p>
    <w:p w14:paraId="4A414B82"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本次申报面向全国高等院校、科研机构、社会团体、企业等单位或个人（个人申报须有课题依托管理单位）。</w:t>
      </w:r>
    </w:p>
    <w:p w14:paraId="45FA8E4C"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申请人须具有较高的政治素质，熟悉决策咨询研究工作，并具有与所申报课题相关的研究基础。</w:t>
      </w:r>
    </w:p>
    <w:p w14:paraId="3831CBCE"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申请人应是所在单位的全职在岗人员。</w:t>
      </w:r>
    </w:p>
    <w:p w14:paraId="696481A3" w14:textId="77777777" w:rsidR="00592F75" w:rsidRPr="007175C4" w:rsidRDefault="00592F75" w:rsidP="007175C4">
      <w:pPr>
        <w:spacing w:line="360" w:lineRule="auto"/>
        <w:rPr>
          <w:rFonts w:ascii="仿宋_GB2312" w:eastAsia="仿宋_GB2312" w:hint="eastAsia"/>
          <w:b/>
          <w:bCs/>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在申报截止日之前，已作为课题负责人承担在</w:t>
      </w:r>
      <w:proofErr w:type="gramStart"/>
      <w:r w:rsidRPr="007175C4">
        <w:rPr>
          <w:rFonts w:ascii="仿宋_GB2312" w:eastAsia="仿宋_GB2312" w:hint="eastAsia"/>
          <w:b/>
          <w:bCs/>
          <w:sz w:val="28"/>
          <w:szCs w:val="28"/>
        </w:rPr>
        <w:t>研</w:t>
      </w:r>
      <w:proofErr w:type="gramEnd"/>
      <w:r w:rsidRPr="007175C4">
        <w:rPr>
          <w:rFonts w:ascii="仿宋_GB2312" w:eastAsia="仿宋_GB2312" w:hint="eastAsia"/>
          <w:b/>
          <w:bCs/>
          <w:sz w:val="28"/>
          <w:szCs w:val="28"/>
        </w:rPr>
        <w:t>的市政府决策咨询课题的人员，不得申请。</w:t>
      </w:r>
    </w:p>
    <w:p w14:paraId="4FCE4852"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三、申报方式及程序</w:t>
      </w:r>
    </w:p>
    <w:p w14:paraId="37B9402A"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1. 申报方式：采用网上申报方式，无需提交纸质材料。申请人通过登录上海市人民政府发展研究中心网站（http://www.fzzx.sh.gov.cn）——“课题申报”栏目——“决策咨</w:t>
      </w:r>
      <w:r w:rsidRPr="007175C4">
        <w:rPr>
          <w:rFonts w:ascii="仿宋_GB2312" w:eastAsia="仿宋_GB2312" w:hint="eastAsia"/>
          <w:sz w:val="28"/>
          <w:szCs w:val="28"/>
        </w:rPr>
        <w:lastRenderedPageBreak/>
        <w:t>询研究项目管理平台”进行申报。</w:t>
      </w:r>
    </w:p>
    <w:p w14:paraId="58DF64F2" w14:textId="26CEC636"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2. 申报步骤：（1）申请人注册并完成实名认证（已注册用户可直接登录）；（</w:t>
      </w:r>
      <w:r w:rsidR="007175C4">
        <w:rPr>
          <w:rFonts w:ascii="仿宋_GB2312" w:eastAsia="仿宋_GB2312" w:hint="eastAsia"/>
          <w:sz w:val="28"/>
          <w:szCs w:val="28"/>
        </w:rPr>
        <w:t>2</w:t>
      </w:r>
      <w:r w:rsidRPr="007175C4">
        <w:rPr>
          <w:rFonts w:ascii="仿宋_GB2312" w:eastAsia="仿宋_GB2312" w:hint="eastAsia"/>
          <w:sz w:val="28"/>
          <w:szCs w:val="28"/>
        </w:rPr>
        <w:t>）申请人填写提交申报材料；（</w:t>
      </w:r>
      <w:r w:rsidR="007175C4">
        <w:rPr>
          <w:rFonts w:ascii="仿宋_GB2312" w:eastAsia="仿宋_GB2312" w:hint="eastAsia"/>
          <w:sz w:val="28"/>
          <w:szCs w:val="28"/>
        </w:rPr>
        <w:t>3</w:t>
      </w:r>
      <w:r w:rsidRPr="007175C4">
        <w:rPr>
          <w:rFonts w:ascii="仿宋_GB2312" w:eastAsia="仿宋_GB2312" w:hint="eastAsia"/>
          <w:sz w:val="28"/>
          <w:szCs w:val="28"/>
        </w:rPr>
        <w:t>）申请人所在单位完成网上审核。</w:t>
      </w:r>
    </w:p>
    <w:p w14:paraId="0D308204"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3. 课题指南获取：登录上海市人民政府发展研究中心网站查阅《2025年度决策咨询研究市场监管专项课题指南》。</w:t>
      </w:r>
    </w:p>
    <w:p w14:paraId="18F88EB9"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4. 申报数量限制：</w:t>
      </w:r>
      <w:r w:rsidRPr="007175C4">
        <w:rPr>
          <w:rFonts w:ascii="仿宋_GB2312" w:eastAsia="仿宋_GB2312" w:hint="eastAsia"/>
          <w:b/>
          <w:bCs/>
          <w:sz w:val="28"/>
          <w:szCs w:val="28"/>
        </w:rPr>
        <w:t>同一申请人限申报1项。</w:t>
      </w:r>
    </w:p>
    <w:p w14:paraId="12881CB0"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5. 在线填写要求：申请人应仔细阅读课题指南和填表说明；申报材料应简明扼要，突出重点和关键，其中《课题论证活页》部分不得出现课题申请人及成员的姓名和单位，字数限3000字，图表不超过规定尺寸。</w:t>
      </w:r>
    </w:p>
    <w:p w14:paraId="0AC13860" w14:textId="10C3181A"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 xml:space="preserve">6. </w:t>
      </w:r>
      <w:r w:rsidRPr="007175C4">
        <w:rPr>
          <w:rFonts w:ascii="仿宋_GB2312" w:eastAsia="仿宋_GB2312" w:hint="eastAsia"/>
          <w:b/>
          <w:bCs/>
          <w:sz w:val="28"/>
          <w:szCs w:val="28"/>
        </w:rPr>
        <w:t>网上申报受理日期：2025年4月30日（星期三）至5月1</w:t>
      </w:r>
      <w:r w:rsidR="007175C4" w:rsidRPr="007175C4">
        <w:rPr>
          <w:rFonts w:ascii="仿宋_GB2312" w:eastAsia="仿宋_GB2312" w:hint="eastAsia"/>
          <w:b/>
          <w:bCs/>
          <w:sz w:val="28"/>
          <w:szCs w:val="28"/>
        </w:rPr>
        <w:t>5</w:t>
      </w:r>
      <w:r w:rsidRPr="007175C4">
        <w:rPr>
          <w:rFonts w:ascii="仿宋_GB2312" w:eastAsia="仿宋_GB2312" w:hint="eastAsia"/>
          <w:b/>
          <w:bCs/>
          <w:sz w:val="28"/>
          <w:szCs w:val="28"/>
        </w:rPr>
        <w:t>日（星期</w:t>
      </w:r>
      <w:r w:rsidR="007175C4" w:rsidRPr="007175C4">
        <w:rPr>
          <w:rFonts w:ascii="仿宋_GB2312" w:eastAsia="仿宋_GB2312" w:hint="eastAsia"/>
          <w:b/>
          <w:bCs/>
          <w:sz w:val="28"/>
          <w:szCs w:val="28"/>
        </w:rPr>
        <w:t>四</w:t>
      </w:r>
      <w:r w:rsidRPr="007175C4">
        <w:rPr>
          <w:rFonts w:ascii="仿宋_GB2312" w:eastAsia="仿宋_GB2312" w:hint="eastAsia"/>
          <w:b/>
          <w:bCs/>
          <w:sz w:val="28"/>
          <w:szCs w:val="28"/>
        </w:rPr>
        <w:t xml:space="preserve">） </w:t>
      </w:r>
      <w:r w:rsidR="007175C4" w:rsidRPr="007175C4">
        <w:rPr>
          <w:rFonts w:ascii="仿宋_GB2312" w:eastAsia="仿宋_GB2312" w:hint="eastAsia"/>
          <w:b/>
          <w:bCs/>
          <w:sz w:val="28"/>
          <w:szCs w:val="28"/>
        </w:rPr>
        <w:t>。</w:t>
      </w:r>
    </w:p>
    <w:p w14:paraId="319C6356"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四、评审程序</w:t>
      </w:r>
    </w:p>
    <w:p w14:paraId="579BB760"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1.申报受理后，由受理单位组织进行两轮评审。</w:t>
      </w:r>
    </w:p>
    <w:p w14:paraId="0BD6D59D"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2.评审结果将于2025年6月在上海市人民政府发展研究中心网站和上海市市场监督管理局网站等渠道向社会公布。</w:t>
      </w:r>
    </w:p>
    <w:p w14:paraId="4BCDA58D"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五、研究进度要求</w:t>
      </w:r>
    </w:p>
    <w:p w14:paraId="2B54F0EF"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1. 课题组按要求须填报《上海市人民政府决策咨询研究项目计划任务书》，并提交详细研究提纲和具体实施计划。</w:t>
      </w:r>
    </w:p>
    <w:p w14:paraId="74ABCB13"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2. 研究期限为2025年6月至11月。</w:t>
      </w:r>
    </w:p>
    <w:p w14:paraId="7D9A9853"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3. 提交研究成果包括：研究报告（含摘要），由受理单位组织专</w:t>
      </w:r>
      <w:r w:rsidRPr="007175C4">
        <w:rPr>
          <w:rFonts w:ascii="仿宋_GB2312" w:eastAsia="仿宋_GB2312" w:hint="eastAsia"/>
          <w:sz w:val="28"/>
          <w:szCs w:val="28"/>
        </w:rPr>
        <w:lastRenderedPageBreak/>
        <w:t>家</w:t>
      </w:r>
      <w:proofErr w:type="gramStart"/>
      <w:r w:rsidRPr="007175C4">
        <w:rPr>
          <w:rFonts w:ascii="仿宋_GB2312" w:eastAsia="仿宋_GB2312" w:hint="eastAsia"/>
          <w:sz w:val="28"/>
          <w:szCs w:val="28"/>
        </w:rPr>
        <w:t>开展结项评审</w:t>
      </w:r>
      <w:proofErr w:type="gramEnd"/>
      <w:r w:rsidRPr="007175C4">
        <w:rPr>
          <w:rFonts w:ascii="仿宋_GB2312" w:eastAsia="仿宋_GB2312" w:hint="eastAsia"/>
          <w:sz w:val="28"/>
          <w:szCs w:val="28"/>
        </w:rPr>
        <w:t>验收。</w:t>
      </w:r>
    </w:p>
    <w:p w14:paraId="2ED2B53E"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六、经费资助</w:t>
      </w:r>
    </w:p>
    <w:p w14:paraId="647FE68F"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资助经费由上海市市场监督管理局承担，每项课题资助人民币10万元。</w:t>
      </w:r>
    </w:p>
    <w:p w14:paraId="19BCF064"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七、联系方式</w:t>
      </w:r>
    </w:p>
    <w:p w14:paraId="005EEA26"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受理部门：上海市市场监督管理局综合规划处（政策研究室）</w:t>
      </w:r>
    </w:p>
    <w:p w14:paraId="544961A9"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联系地址：上海市肇嘉</w:t>
      </w:r>
      <w:proofErr w:type="gramStart"/>
      <w:r w:rsidRPr="007175C4">
        <w:rPr>
          <w:rFonts w:ascii="仿宋_GB2312" w:eastAsia="仿宋_GB2312" w:hint="eastAsia"/>
          <w:sz w:val="28"/>
          <w:szCs w:val="28"/>
        </w:rPr>
        <w:t>浜</w:t>
      </w:r>
      <w:proofErr w:type="gramEnd"/>
      <w:r w:rsidRPr="007175C4">
        <w:rPr>
          <w:rFonts w:ascii="仿宋_GB2312" w:eastAsia="仿宋_GB2312" w:hint="eastAsia"/>
          <w:sz w:val="28"/>
          <w:szCs w:val="28"/>
        </w:rPr>
        <w:t>路301号2604室（邮编：200032）</w:t>
      </w:r>
    </w:p>
    <w:p w14:paraId="1E347088"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联 系 人：张谊</w:t>
      </w:r>
    </w:p>
    <w:p w14:paraId="5CCDD4FD"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联系电话：64220000—2604</w:t>
      </w:r>
    </w:p>
    <w:p w14:paraId="5F70E7F7" w14:textId="7517004B" w:rsidR="00592F75" w:rsidRDefault="00592F75" w:rsidP="007175C4">
      <w:pPr>
        <w:spacing w:line="360" w:lineRule="auto"/>
        <w:rPr>
          <w:rFonts w:ascii="仿宋_GB2312" w:eastAsia="仿宋_GB2312"/>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电子邮箱：</w:t>
      </w:r>
      <w:hyperlink r:id="rId6" w:history="1">
        <w:r w:rsidR="007175C4" w:rsidRPr="00C73F98">
          <w:rPr>
            <w:rStyle w:val="af2"/>
            <w:rFonts w:ascii="仿宋_GB2312" w:eastAsia="仿宋_GB2312" w:hint="eastAsia"/>
            <w:sz w:val="28"/>
            <w:szCs w:val="28"/>
          </w:rPr>
          <w:t>zbzjbgs@163.com</w:t>
        </w:r>
      </w:hyperlink>
    </w:p>
    <w:p w14:paraId="184337AB" w14:textId="77777777" w:rsidR="007175C4" w:rsidRDefault="007175C4" w:rsidP="007175C4">
      <w:pPr>
        <w:spacing w:line="360" w:lineRule="auto"/>
        <w:ind w:firstLineChars="200" w:firstLine="560"/>
        <w:rPr>
          <w:rFonts w:ascii="仿宋_GB2312" w:eastAsia="仿宋_GB2312"/>
          <w:sz w:val="28"/>
          <w:szCs w:val="28"/>
        </w:rPr>
      </w:pPr>
      <w:bookmarkStart w:id="0" w:name="OLE_LINK1"/>
      <w:bookmarkStart w:id="1" w:name="_Hlk196857998"/>
      <w:r>
        <w:rPr>
          <w:rFonts w:ascii="仿宋_GB2312" w:eastAsia="仿宋_GB2312" w:hint="eastAsia"/>
          <w:sz w:val="28"/>
          <w:szCs w:val="28"/>
        </w:rPr>
        <w:t>校内联系人：程琳   13621663467</w:t>
      </w:r>
      <w:bookmarkEnd w:id="1"/>
    </w:p>
    <w:bookmarkEnd w:id="0"/>
    <w:p w14:paraId="097FEAD1"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特此通知。</w:t>
      </w:r>
    </w:p>
    <w:p w14:paraId="51A6B373" w14:textId="77777777" w:rsidR="007175C4" w:rsidRDefault="00592F75" w:rsidP="007175C4">
      <w:pPr>
        <w:spacing w:line="360" w:lineRule="auto"/>
        <w:rPr>
          <w:rFonts w:ascii="仿宋_GB2312" w:eastAsia="仿宋_GB2312"/>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p>
    <w:p w14:paraId="29225516" w14:textId="77777777" w:rsidR="007175C4" w:rsidRDefault="007175C4" w:rsidP="007175C4">
      <w:pPr>
        <w:spacing w:line="360" w:lineRule="auto"/>
        <w:rPr>
          <w:rFonts w:ascii="仿宋_GB2312" w:eastAsia="仿宋_GB2312"/>
          <w:sz w:val="28"/>
          <w:szCs w:val="28"/>
        </w:rPr>
      </w:pPr>
    </w:p>
    <w:p w14:paraId="0B5FFF9D" w14:textId="033F295C"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附件：2025年度决策咨询研究市场监管专项课题指南</w:t>
      </w:r>
    </w:p>
    <w:p w14:paraId="7CDDD989" w14:textId="77777777" w:rsidR="00592F75" w:rsidRDefault="00592F75" w:rsidP="007175C4">
      <w:pPr>
        <w:spacing w:line="360" w:lineRule="auto"/>
        <w:rPr>
          <w:rFonts w:ascii="仿宋_GB2312" w:eastAsia="仿宋_GB2312"/>
          <w:sz w:val="28"/>
          <w:szCs w:val="28"/>
        </w:rPr>
      </w:pPr>
      <w:r w:rsidRPr="007175C4">
        <w:rPr>
          <w:rFonts w:ascii="仿宋_GB2312" w:eastAsia="仿宋_GB2312" w:hint="eastAsia"/>
          <w:sz w:val="28"/>
          <w:szCs w:val="28"/>
        </w:rPr>
        <w:t> </w:t>
      </w:r>
    </w:p>
    <w:p w14:paraId="23F1BA89" w14:textId="77777777" w:rsidR="007175C4" w:rsidRPr="007175C4" w:rsidRDefault="007175C4" w:rsidP="007175C4">
      <w:pPr>
        <w:spacing w:line="360" w:lineRule="auto"/>
        <w:rPr>
          <w:rFonts w:ascii="仿宋_GB2312" w:eastAsia="仿宋_GB2312" w:hint="eastAsia"/>
          <w:sz w:val="28"/>
          <w:szCs w:val="28"/>
        </w:rPr>
      </w:pPr>
    </w:p>
    <w:p w14:paraId="1B8AE5CF" w14:textId="77777777" w:rsidR="007175C4" w:rsidRDefault="007175C4" w:rsidP="007175C4">
      <w:pPr>
        <w:adjustRightInd w:val="0"/>
        <w:snapToGrid w:val="0"/>
        <w:spacing w:line="360" w:lineRule="auto"/>
        <w:jc w:val="right"/>
        <w:rPr>
          <w:rFonts w:ascii="仿宋_GB2312" w:eastAsia="仿宋_GB2312"/>
          <w:sz w:val="28"/>
          <w:szCs w:val="28"/>
        </w:rPr>
      </w:pPr>
      <w:bookmarkStart w:id="2" w:name="_Hlk196858013"/>
      <w:r>
        <w:rPr>
          <w:rFonts w:ascii="仿宋_GB2312" w:eastAsia="仿宋_GB2312" w:hint="eastAsia"/>
          <w:sz w:val="28"/>
          <w:szCs w:val="28"/>
        </w:rPr>
        <w:t>上海对外经贸大学</w:t>
      </w:r>
    </w:p>
    <w:p w14:paraId="3A9EFC2F" w14:textId="77777777" w:rsidR="007175C4" w:rsidRDefault="007175C4" w:rsidP="007175C4">
      <w:pPr>
        <w:adjustRightInd w:val="0"/>
        <w:snapToGrid w:val="0"/>
        <w:spacing w:line="360" w:lineRule="auto"/>
        <w:jc w:val="right"/>
        <w:rPr>
          <w:rFonts w:ascii="仿宋_GB2312" w:eastAsia="仿宋_GB2312"/>
          <w:sz w:val="28"/>
          <w:szCs w:val="28"/>
        </w:rPr>
      </w:pPr>
      <w:r>
        <w:rPr>
          <w:rFonts w:ascii="仿宋_GB2312" w:eastAsia="仿宋_GB2312" w:hint="eastAsia"/>
          <w:sz w:val="28"/>
          <w:szCs w:val="28"/>
        </w:rPr>
        <w:t>科研处</w:t>
      </w:r>
    </w:p>
    <w:p w14:paraId="737DCB39" w14:textId="77777777" w:rsidR="007175C4" w:rsidRDefault="007175C4" w:rsidP="007175C4">
      <w:pPr>
        <w:spacing w:line="360" w:lineRule="auto"/>
        <w:jc w:val="right"/>
        <w:rPr>
          <w:rFonts w:ascii="仿宋_GB2312" w:eastAsia="仿宋_GB2312"/>
          <w:sz w:val="28"/>
          <w:szCs w:val="28"/>
        </w:rPr>
      </w:pPr>
      <w:r>
        <w:rPr>
          <w:rFonts w:ascii="仿宋_GB2312" w:eastAsia="仿宋_GB2312" w:hint="eastAsia"/>
          <w:sz w:val="28"/>
          <w:szCs w:val="28"/>
        </w:rPr>
        <w:t>2025年4月29日</w:t>
      </w:r>
      <w:bookmarkEnd w:id="2"/>
    </w:p>
    <w:p w14:paraId="5F689D9C" w14:textId="77777777" w:rsidR="007175C4" w:rsidRDefault="007175C4" w:rsidP="007175C4">
      <w:pPr>
        <w:spacing w:line="360" w:lineRule="auto"/>
        <w:rPr>
          <w:rFonts w:ascii="仿宋_GB2312" w:eastAsia="仿宋_GB2312"/>
          <w:sz w:val="28"/>
          <w:szCs w:val="28"/>
        </w:rPr>
      </w:pPr>
    </w:p>
    <w:p w14:paraId="230286F5" w14:textId="77777777" w:rsidR="007175C4" w:rsidRDefault="007175C4" w:rsidP="007175C4">
      <w:pPr>
        <w:spacing w:line="360" w:lineRule="auto"/>
        <w:rPr>
          <w:rFonts w:ascii="仿宋_GB2312" w:eastAsia="仿宋_GB2312"/>
          <w:sz w:val="28"/>
          <w:szCs w:val="28"/>
        </w:rPr>
      </w:pPr>
    </w:p>
    <w:p w14:paraId="3D98B172" w14:textId="330031E2"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lastRenderedPageBreak/>
        <w:t>附件</w:t>
      </w:r>
      <w:r w:rsidR="007175C4">
        <w:rPr>
          <w:rFonts w:ascii="仿宋_GB2312" w:eastAsia="仿宋_GB2312" w:hint="eastAsia"/>
          <w:sz w:val="28"/>
          <w:szCs w:val="28"/>
        </w:rPr>
        <w:t>：</w:t>
      </w:r>
    </w:p>
    <w:p w14:paraId="25DC2939" w14:textId="29866C84" w:rsidR="00592F75" w:rsidRPr="007175C4" w:rsidRDefault="00592F75" w:rsidP="007175C4">
      <w:pPr>
        <w:spacing w:line="360" w:lineRule="auto"/>
        <w:jc w:val="center"/>
        <w:rPr>
          <w:rFonts w:ascii="方正小标宋简体" w:eastAsia="方正小标宋简体" w:hint="eastAsia"/>
          <w:sz w:val="32"/>
          <w:szCs w:val="32"/>
        </w:rPr>
      </w:pPr>
      <w:r w:rsidRPr="007175C4">
        <w:rPr>
          <w:rFonts w:ascii="方正小标宋简体" w:eastAsia="方正小标宋简体" w:hint="eastAsia"/>
          <w:sz w:val="32"/>
          <w:szCs w:val="32"/>
        </w:rPr>
        <w:t>2025年度决策咨询研究市场监管专项课题指南</w:t>
      </w:r>
    </w:p>
    <w:p w14:paraId="0A263C23" w14:textId="0BF67296" w:rsidR="00592F75" w:rsidRPr="007175C4" w:rsidRDefault="00592F75" w:rsidP="00883A07">
      <w:pPr>
        <w:spacing w:beforeLines="50" w:before="156" w:line="360" w:lineRule="auto"/>
        <w:ind w:firstLineChars="200" w:firstLine="562"/>
        <w:rPr>
          <w:rFonts w:ascii="仿宋_GB2312" w:eastAsia="仿宋_GB2312" w:hint="eastAsia"/>
          <w:sz w:val="28"/>
          <w:szCs w:val="28"/>
        </w:rPr>
      </w:pPr>
      <w:r w:rsidRPr="007175C4">
        <w:rPr>
          <w:rFonts w:ascii="仿宋_GB2312" w:eastAsia="仿宋_GB2312" w:hint="eastAsia"/>
          <w:b/>
          <w:bCs/>
          <w:sz w:val="28"/>
          <w:szCs w:val="28"/>
        </w:rPr>
        <w:t>一、市场监管在推动上海城市发展与经济增长中的角色与作用研究</w:t>
      </w:r>
    </w:p>
    <w:p w14:paraId="77DDC8AD"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本研究旨在对标上海“五个中心”建设目标，深入剖析市场监管在上海城市发展与经济增长进程中的具体角色与作用，为进一步优化市场监管策略提供理论依据与实践指导，助力上海在新时代实现高质量发展。一方面，全面对标上海市重大战略和重点改革任务，梳理上海市场监管在维护市场秩序、促进经济发展和城市治理现代化等方面的功能作用。另一方面，围绕市场监管职能，提出市场监管在促进全方位扩大内需、加快建设现代化产业体系、打造一流营商环境等方面的创新政策措施。</w:t>
      </w:r>
    </w:p>
    <w:p w14:paraId="12689D5F" w14:textId="5E776CF3"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二、非现场监管方式应用研究</w:t>
      </w:r>
    </w:p>
    <w:p w14:paraId="5269F730"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非现场监管是指通过信息技术手段，对被监管对象的行为、业务、活动等进行远程监控、数据采集、分析和处理，实现对被监管对象的监督和管理。非现场监管是提升政府监管效能、优化营商环境的重要举措。近年来，全国各地市场监管部门纷纷探索非现场监管方式在市场监管领域的运用，在提升监管效能助力优化营商环境方面形成了一系列好经验、好做法。但是，非现场监管方式的应用也面临法律依据不足、执法衔接不顺、证据转换困难、保障资金缺乏等方面的现实难题。因此，非现场监管方式应用的课题研究具有重要的理论意义和实践价值。</w:t>
      </w:r>
    </w:p>
    <w:p w14:paraId="463CD6B0"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lastRenderedPageBreak/>
        <w:t> </w:t>
      </w:r>
      <w:r w:rsidRPr="007175C4">
        <w:rPr>
          <w:rFonts w:ascii="仿宋_GB2312" w:eastAsia="仿宋_GB2312" w:hint="eastAsia"/>
          <w:sz w:val="28"/>
          <w:szCs w:val="28"/>
        </w:rPr>
        <w:t> </w:t>
      </w:r>
      <w:r w:rsidRPr="007175C4">
        <w:rPr>
          <w:rFonts w:ascii="仿宋_GB2312" w:eastAsia="仿宋_GB2312" w:hint="eastAsia"/>
          <w:sz w:val="28"/>
          <w:szCs w:val="28"/>
        </w:rPr>
        <w:t>本研究主要聚焦非现场监管方式应用中的实践现状、法律问题、执法衔接、证据效力、技术手段等方面的相关问题，在调查研究的基础上提出在市场监管领域推广应用非现场监管方式的相关对策建议。一方面可以进一步丰富非现场监管研究方面的理论成果、为非现场监管方式应用的法治化规范化提供理论支撑，另一方面可以为市场监管部门推广应用各类技术手段开展非现场监管，进而减少检查数量、实现有效监管、提升监管效能、助力优化营商环境提供指导依据。</w:t>
      </w:r>
    </w:p>
    <w:p w14:paraId="2704E725"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三、电商平台生态治理下平台协议规则规范研究</w:t>
      </w:r>
    </w:p>
    <w:p w14:paraId="02243BAE"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平台汇集平台经营者、商户、消费者、劳动者等多元主体，构建和谐共生的平台生态对于推动平台经济健康有序发展具有重要意义。平台协议规则作为平台、商家、消费者、劳动者等多方主体之间的契约，明确各方的权利、义务和行为边界，成为平台生态治理的基础和关键环节。当前平台协议规则在制定、执行和监督等方面存在诸多问题，比如近年来引发各界广泛关注的“仅退款”、平台滥用处罚权等争议问题，平台利用算法规则实施大数据“杀熟”、压缩骑手配送时间等问题，影响了各方主体的合法权益和平台生态的健康发展。贯彻国家市场监管总局部署，上海市场监管部门自2023年起组织开展了优化平台协议规则工作，通过突出重点平台、重点条款、重点环节（平台自查、属地督查）的规范监管，平台协议规则的合</w:t>
      </w:r>
      <w:proofErr w:type="gramStart"/>
      <w:r w:rsidRPr="007175C4">
        <w:rPr>
          <w:rFonts w:ascii="仿宋_GB2312" w:eastAsia="仿宋_GB2312" w:hint="eastAsia"/>
          <w:sz w:val="28"/>
          <w:szCs w:val="28"/>
        </w:rPr>
        <w:t>规</w:t>
      </w:r>
      <w:proofErr w:type="gramEnd"/>
      <w:r w:rsidRPr="007175C4">
        <w:rPr>
          <w:rFonts w:ascii="仿宋_GB2312" w:eastAsia="仿宋_GB2312" w:hint="eastAsia"/>
          <w:sz w:val="28"/>
          <w:szCs w:val="28"/>
        </w:rPr>
        <w:t>水平有所提升。但平台协议规则仍存在诸如透明度不够高、制修流程不够完善、权责条款不够公平、相关主体权益保障不到位等问题。</w:t>
      </w:r>
    </w:p>
    <w:p w14:paraId="43122F65"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本研究目的在于系统梳理电商平台生态治理中协议规则的现状</w:t>
      </w:r>
      <w:r w:rsidRPr="007175C4">
        <w:rPr>
          <w:rFonts w:ascii="仿宋_GB2312" w:eastAsia="仿宋_GB2312" w:hint="eastAsia"/>
          <w:sz w:val="28"/>
          <w:szCs w:val="28"/>
        </w:rPr>
        <w:lastRenderedPageBreak/>
        <w:t>及问题，统筹好平台自治与政府监管、活力与秩序、效率和公平三对关系，总结平台协议规则的本质属性、功能定位和规制逻辑。突出消费者权益保障、商家营商环境优化等重点协议规则的研究，厘清平台协议规则应遵循的基本原则和底线要求，提出有效的规范建议和监管措施，为市场监管部门提升电商平台生态治理能力提供决策参考和实践指导。本课题研究紧扣平台经济热点问题，具有重要的现实意义和应用价值，有利于推动平台生态健康、可持续发展。</w:t>
      </w:r>
    </w:p>
    <w:p w14:paraId="2BB0FD7A"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b/>
          <w:bCs/>
          <w:sz w:val="28"/>
          <w:szCs w:val="28"/>
        </w:rPr>
        <w:t>四、餐饮食品安全非现场监管场景应用及制度研究</w:t>
      </w:r>
    </w:p>
    <w:p w14:paraId="3FF8FC40"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以“互联网+明厨亮灶”建设为基础的非现场监管应用是落实规范涉</w:t>
      </w:r>
      <w:proofErr w:type="gramStart"/>
      <w:r w:rsidRPr="007175C4">
        <w:rPr>
          <w:rFonts w:ascii="仿宋_GB2312" w:eastAsia="仿宋_GB2312" w:hint="eastAsia"/>
          <w:sz w:val="28"/>
          <w:szCs w:val="28"/>
        </w:rPr>
        <w:t>企检查</w:t>
      </w:r>
      <w:proofErr w:type="gramEnd"/>
      <w:r w:rsidRPr="007175C4">
        <w:rPr>
          <w:rFonts w:ascii="仿宋_GB2312" w:eastAsia="仿宋_GB2312" w:hint="eastAsia"/>
          <w:sz w:val="28"/>
          <w:szCs w:val="28"/>
        </w:rPr>
        <w:t>决策部署的重要工作举措，也是持续打造市场化、法治化、国际化营商环境的重要内容。近年来，本市在推进以“互联网+明厨亮灶”为基础的非现场监管方面已经做了一些尝试，但仍面临着应用不够广泛、监管标准不明确、监管与履职边界不清等问题。</w:t>
      </w:r>
    </w:p>
    <w:p w14:paraId="4DF1EF4D" w14:textId="77777777" w:rsidR="00592F75" w:rsidRPr="007175C4" w:rsidRDefault="00592F75" w:rsidP="007175C4">
      <w:pPr>
        <w:spacing w:line="360" w:lineRule="auto"/>
        <w:rPr>
          <w:rFonts w:ascii="仿宋_GB2312" w:eastAsia="仿宋_GB2312" w:hint="eastAsia"/>
          <w:sz w:val="28"/>
          <w:szCs w:val="28"/>
        </w:rPr>
      </w:pPr>
      <w:r w:rsidRPr="007175C4">
        <w:rPr>
          <w:rFonts w:ascii="仿宋_GB2312" w:eastAsia="仿宋_GB2312" w:hint="eastAsia"/>
          <w:sz w:val="28"/>
          <w:szCs w:val="28"/>
        </w:rPr>
        <w:t> </w:t>
      </w:r>
      <w:r w:rsidRPr="007175C4">
        <w:rPr>
          <w:rFonts w:ascii="仿宋_GB2312" w:eastAsia="仿宋_GB2312" w:hint="eastAsia"/>
          <w:sz w:val="28"/>
          <w:szCs w:val="28"/>
        </w:rPr>
        <w:t> </w:t>
      </w:r>
      <w:r w:rsidRPr="007175C4">
        <w:rPr>
          <w:rFonts w:ascii="仿宋_GB2312" w:eastAsia="仿宋_GB2312" w:hint="eastAsia"/>
          <w:sz w:val="28"/>
          <w:szCs w:val="28"/>
        </w:rPr>
        <w:t>本研究立足于探索餐饮食品安全监管数字化转型，在本市餐饮单位全面实施“互联网+明厨亮灶”建设的基础上，分析研究国内外以及本市当前在餐饮食品安全监管领域运用非现场监管的现状以及存在的短板，提出相关对策建议，为下一步推动餐饮食品安全监管理念的更新、监管手段的升级、出台相应的制度文件提供思路，探索精准监管，切实为基层减负，进一步提升监管效能。这不仅有利于稳定市场预期，助力打造国际一流营商环境，还有利于提高餐饮食品安全监管的准确性、有效性，切实保障人民群众的饮食安全和身体健康。</w:t>
      </w:r>
    </w:p>
    <w:p w14:paraId="5A413E47" w14:textId="77777777" w:rsidR="00AF7F19" w:rsidRPr="007175C4" w:rsidRDefault="00AF7F19" w:rsidP="007175C4">
      <w:pPr>
        <w:spacing w:line="360" w:lineRule="auto"/>
        <w:rPr>
          <w:rFonts w:ascii="仿宋_GB2312" w:eastAsia="仿宋_GB2312" w:hint="eastAsia"/>
          <w:sz w:val="28"/>
          <w:szCs w:val="28"/>
        </w:rPr>
      </w:pPr>
    </w:p>
    <w:sectPr w:rsidR="00AF7F19" w:rsidRPr="007175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8816" w14:textId="77777777" w:rsidR="00BE266C" w:rsidRDefault="00BE266C" w:rsidP="007175C4">
      <w:pPr>
        <w:rPr>
          <w:rFonts w:hint="eastAsia"/>
        </w:rPr>
      </w:pPr>
      <w:r>
        <w:separator/>
      </w:r>
    </w:p>
  </w:endnote>
  <w:endnote w:type="continuationSeparator" w:id="0">
    <w:p w14:paraId="395D1110" w14:textId="77777777" w:rsidR="00BE266C" w:rsidRDefault="00BE266C" w:rsidP="007175C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507863"/>
      <w:docPartObj>
        <w:docPartGallery w:val="Page Numbers (Bottom of Page)"/>
        <w:docPartUnique/>
      </w:docPartObj>
    </w:sdtPr>
    <w:sdtContent>
      <w:p w14:paraId="5CE7CF12" w14:textId="477465DB" w:rsidR="007175C4" w:rsidRDefault="007175C4">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2566575E" w14:textId="77777777" w:rsidR="007175C4" w:rsidRDefault="007175C4">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DC24" w14:textId="77777777" w:rsidR="00BE266C" w:rsidRDefault="00BE266C" w:rsidP="007175C4">
      <w:pPr>
        <w:rPr>
          <w:rFonts w:hint="eastAsia"/>
        </w:rPr>
      </w:pPr>
      <w:r>
        <w:separator/>
      </w:r>
    </w:p>
  </w:footnote>
  <w:footnote w:type="continuationSeparator" w:id="0">
    <w:p w14:paraId="41663534" w14:textId="77777777" w:rsidR="00BE266C" w:rsidRDefault="00BE266C" w:rsidP="007175C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B5"/>
    <w:rsid w:val="00592F75"/>
    <w:rsid w:val="006C52F7"/>
    <w:rsid w:val="007175C4"/>
    <w:rsid w:val="00883A07"/>
    <w:rsid w:val="009C388B"/>
    <w:rsid w:val="009F3D35"/>
    <w:rsid w:val="00AF7F19"/>
    <w:rsid w:val="00BE266C"/>
    <w:rsid w:val="00FE3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DDDC6"/>
  <w15:chartTrackingRefBased/>
  <w15:docId w15:val="{FADDD318-775F-497C-A9C3-1DB6D323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3DB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E3DB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E3DB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E3DB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E3DB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E3DB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E3DB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DB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E3DB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DB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E3DB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E3DB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E3DB5"/>
    <w:rPr>
      <w:rFonts w:cstheme="majorBidi"/>
      <w:color w:val="0F4761" w:themeColor="accent1" w:themeShade="BF"/>
      <w:sz w:val="28"/>
      <w:szCs w:val="28"/>
    </w:rPr>
  </w:style>
  <w:style w:type="character" w:customStyle="1" w:styleId="50">
    <w:name w:val="标题 5 字符"/>
    <w:basedOn w:val="a0"/>
    <w:link w:val="5"/>
    <w:uiPriority w:val="9"/>
    <w:semiHidden/>
    <w:rsid w:val="00FE3DB5"/>
    <w:rPr>
      <w:rFonts w:cstheme="majorBidi"/>
      <w:color w:val="0F4761" w:themeColor="accent1" w:themeShade="BF"/>
      <w:sz w:val="24"/>
      <w:szCs w:val="24"/>
    </w:rPr>
  </w:style>
  <w:style w:type="character" w:customStyle="1" w:styleId="60">
    <w:name w:val="标题 6 字符"/>
    <w:basedOn w:val="a0"/>
    <w:link w:val="6"/>
    <w:uiPriority w:val="9"/>
    <w:semiHidden/>
    <w:rsid w:val="00FE3DB5"/>
    <w:rPr>
      <w:rFonts w:cstheme="majorBidi"/>
      <w:b/>
      <w:bCs/>
      <w:color w:val="0F4761" w:themeColor="accent1" w:themeShade="BF"/>
    </w:rPr>
  </w:style>
  <w:style w:type="character" w:customStyle="1" w:styleId="70">
    <w:name w:val="标题 7 字符"/>
    <w:basedOn w:val="a0"/>
    <w:link w:val="7"/>
    <w:uiPriority w:val="9"/>
    <w:semiHidden/>
    <w:rsid w:val="00FE3DB5"/>
    <w:rPr>
      <w:rFonts w:cstheme="majorBidi"/>
      <w:b/>
      <w:bCs/>
      <w:color w:val="595959" w:themeColor="text1" w:themeTint="A6"/>
    </w:rPr>
  </w:style>
  <w:style w:type="character" w:customStyle="1" w:styleId="80">
    <w:name w:val="标题 8 字符"/>
    <w:basedOn w:val="a0"/>
    <w:link w:val="8"/>
    <w:uiPriority w:val="9"/>
    <w:semiHidden/>
    <w:rsid w:val="00FE3DB5"/>
    <w:rPr>
      <w:rFonts w:cstheme="majorBidi"/>
      <w:color w:val="595959" w:themeColor="text1" w:themeTint="A6"/>
    </w:rPr>
  </w:style>
  <w:style w:type="character" w:customStyle="1" w:styleId="90">
    <w:name w:val="标题 9 字符"/>
    <w:basedOn w:val="a0"/>
    <w:link w:val="9"/>
    <w:uiPriority w:val="9"/>
    <w:semiHidden/>
    <w:rsid w:val="00FE3DB5"/>
    <w:rPr>
      <w:rFonts w:eastAsiaTheme="majorEastAsia" w:cstheme="majorBidi"/>
      <w:color w:val="595959" w:themeColor="text1" w:themeTint="A6"/>
    </w:rPr>
  </w:style>
  <w:style w:type="paragraph" w:styleId="a3">
    <w:name w:val="Title"/>
    <w:basedOn w:val="a"/>
    <w:next w:val="a"/>
    <w:link w:val="a4"/>
    <w:uiPriority w:val="10"/>
    <w:qFormat/>
    <w:rsid w:val="00FE3D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D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DB5"/>
    <w:pPr>
      <w:spacing w:before="160" w:after="160"/>
      <w:jc w:val="center"/>
    </w:pPr>
    <w:rPr>
      <w:i/>
      <w:iCs/>
      <w:color w:val="404040" w:themeColor="text1" w:themeTint="BF"/>
    </w:rPr>
  </w:style>
  <w:style w:type="character" w:customStyle="1" w:styleId="a8">
    <w:name w:val="引用 字符"/>
    <w:basedOn w:val="a0"/>
    <w:link w:val="a7"/>
    <w:uiPriority w:val="29"/>
    <w:rsid w:val="00FE3DB5"/>
    <w:rPr>
      <w:i/>
      <w:iCs/>
      <w:color w:val="404040" w:themeColor="text1" w:themeTint="BF"/>
    </w:rPr>
  </w:style>
  <w:style w:type="paragraph" w:styleId="a9">
    <w:name w:val="List Paragraph"/>
    <w:basedOn w:val="a"/>
    <w:uiPriority w:val="34"/>
    <w:qFormat/>
    <w:rsid w:val="00FE3DB5"/>
    <w:pPr>
      <w:ind w:left="720"/>
      <w:contextualSpacing/>
    </w:pPr>
  </w:style>
  <w:style w:type="character" w:styleId="aa">
    <w:name w:val="Intense Emphasis"/>
    <w:basedOn w:val="a0"/>
    <w:uiPriority w:val="21"/>
    <w:qFormat/>
    <w:rsid w:val="00FE3DB5"/>
    <w:rPr>
      <w:i/>
      <w:iCs/>
      <w:color w:val="0F4761" w:themeColor="accent1" w:themeShade="BF"/>
    </w:rPr>
  </w:style>
  <w:style w:type="paragraph" w:styleId="ab">
    <w:name w:val="Intense Quote"/>
    <w:basedOn w:val="a"/>
    <w:next w:val="a"/>
    <w:link w:val="ac"/>
    <w:uiPriority w:val="30"/>
    <w:qFormat/>
    <w:rsid w:val="00FE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E3DB5"/>
    <w:rPr>
      <w:i/>
      <w:iCs/>
      <w:color w:val="0F4761" w:themeColor="accent1" w:themeShade="BF"/>
    </w:rPr>
  </w:style>
  <w:style w:type="character" w:styleId="ad">
    <w:name w:val="Intense Reference"/>
    <w:basedOn w:val="a0"/>
    <w:uiPriority w:val="32"/>
    <w:qFormat/>
    <w:rsid w:val="00FE3DB5"/>
    <w:rPr>
      <w:b/>
      <w:bCs/>
      <w:smallCaps/>
      <w:color w:val="0F4761" w:themeColor="accent1" w:themeShade="BF"/>
      <w:spacing w:val="5"/>
    </w:rPr>
  </w:style>
  <w:style w:type="paragraph" w:styleId="ae">
    <w:name w:val="header"/>
    <w:basedOn w:val="a"/>
    <w:link w:val="af"/>
    <w:uiPriority w:val="99"/>
    <w:unhideWhenUsed/>
    <w:rsid w:val="007175C4"/>
    <w:pPr>
      <w:tabs>
        <w:tab w:val="center" w:pos="4153"/>
        <w:tab w:val="right" w:pos="8306"/>
      </w:tabs>
      <w:snapToGrid w:val="0"/>
      <w:jc w:val="center"/>
    </w:pPr>
    <w:rPr>
      <w:sz w:val="18"/>
      <w:szCs w:val="18"/>
    </w:rPr>
  </w:style>
  <w:style w:type="character" w:customStyle="1" w:styleId="af">
    <w:name w:val="页眉 字符"/>
    <w:basedOn w:val="a0"/>
    <w:link w:val="ae"/>
    <w:uiPriority w:val="99"/>
    <w:rsid w:val="007175C4"/>
    <w:rPr>
      <w:sz w:val="18"/>
      <w:szCs w:val="18"/>
    </w:rPr>
  </w:style>
  <w:style w:type="paragraph" w:styleId="af0">
    <w:name w:val="footer"/>
    <w:basedOn w:val="a"/>
    <w:link w:val="af1"/>
    <w:uiPriority w:val="99"/>
    <w:unhideWhenUsed/>
    <w:rsid w:val="007175C4"/>
    <w:pPr>
      <w:tabs>
        <w:tab w:val="center" w:pos="4153"/>
        <w:tab w:val="right" w:pos="8306"/>
      </w:tabs>
      <w:snapToGrid w:val="0"/>
      <w:jc w:val="left"/>
    </w:pPr>
    <w:rPr>
      <w:sz w:val="18"/>
      <w:szCs w:val="18"/>
    </w:rPr>
  </w:style>
  <w:style w:type="character" w:customStyle="1" w:styleId="af1">
    <w:name w:val="页脚 字符"/>
    <w:basedOn w:val="a0"/>
    <w:link w:val="af0"/>
    <w:uiPriority w:val="99"/>
    <w:rsid w:val="007175C4"/>
    <w:rPr>
      <w:sz w:val="18"/>
      <w:szCs w:val="18"/>
    </w:rPr>
  </w:style>
  <w:style w:type="character" w:styleId="af2">
    <w:name w:val="Hyperlink"/>
    <w:basedOn w:val="a0"/>
    <w:uiPriority w:val="99"/>
    <w:unhideWhenUsed/>
    <w:rsid w:val="007175C4"/>
    <w:rPr>
      <w:color w:val="467886" w:themeColor="hyperlink"/>
      <w:u w:val="single"/>
    </w:rPr>
  </w:style>
  <w:style w:type="character" w:styleId="af3">
    <w:name w:val="Unresolved Mention"/>
    <w:basedOn w:val="a0"/>
    <w:uiPriority w:val="99"/>
    <w:semiHidden/>
    <w:unhideWhenUsed/>
    <w:rsid w:val="007175C4"/>
    <w:rPr>
      <w:color w:val="605E5C"/>
      <w:shd w:val="clear" w:color="auto" w:fill="E1DFDD"/>
    </w:rPr>
  </w:style>
  <w:style w:type="paragraph" w:styleId="af4">
    <w:name w:val="Date"/>
    <w:basedOn w:val="a"/>
    <w:next w:val="a"/>
    <w:link w:val="af5"/>
    <w:uiPriority w:val="99"/>
    <w:semiHidden/>
    <w:unhideWhenUsed/>
    <w:rsid w:val="007175C4"/>
    <w:pPr>
      <w:ind w:leftChars="2500" w:left="100"/>
    </w:pPr>
  </w:style>
  <w:style w:type="character" w:customStyle="1" w:styleId="af5">
    <w:name w:val="日期 字符"/>
    <w:basedOn w:val="a0"/>
    <w:link w:val="af4"/>
    <w:uiPriority w:val="99"/>
    <w:semiHidden/>
    <w:rsid w:val="00717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16315">
      <w:bodyDiv w:val="1"/>
      <w:marLeft w:val="0"/>
      <w:marRight w:val="0"/>
      <w:marTop w:val="0"/>
      <w:marBottom w:val="0"/>
      <w:divBdr>
        <w:top w:val="none" w:sz="0" w:space="0" w:color="auto"/>
        <w:left w:val="none" w:sz="0" w:space="0" w:color="auto"/>
        <w:bottom w:val="none" w:sz="0" w:space="0" w:color="auto"/>
        <w:right w:val="none" w:sz="0" w:space="0" w:color="auto"/>
      </w:divBdr>
      <w:divsChild>
        <w:div w:id="1047411913">
          <w:marLeft w:val="0"/>
          <w:marRight w:val="0"/>
          <w:marTop w:val="150"/>
          <w:marBottom w:val="150"/>
          <w:divBdr>
            <w:top w:val="none" w:sz="0" w:space="0" w:color="auto"/>
            <w:left w:val="none" w:sz="0" w:space="0" w:color="auto"/>
            <w:bottom w:val="none" w:sz="0" w:space="0" w:color="auto"/>
            <w:right w:val="none" w:sz="0" w:space="0" w:color="auto"/>
          </w:divBdr>
        </w:div>
        <w:div w:id="1736662303">
          <w:marLeft w:val="0"/>
          <w:marRight w:val="0"/>
          <w:marTop w:val="75"/>
          <w:marBottom w:val="75"/>
          <w:divBdr>
            <w:top w:val="none" w:sz="0" w:space="0" w:color="auto"/>
            <w:left w:val="none" w:sz="0" w:space="0" w:color="auto"/>
            <w:bottom w:val="none" w:sz="0" w:space="0" w:color="auto"/>
            <w:right w:val="none" w:sz="0" w:space="0" w:color="auto"/>
          </w:divBdr>
          <w:divsChild>
            <w:div w:id="369768027">
              <w:marLeft w:val="105"/>
              <w:marRight w:val="105"/>
              <w:marTop w:val="0"/>
              <w:marBottom w:val="0"/>
              <w:divBdr>
                <w:top w:val="none" w:sz="0" w:space="0" w:color="auto"/>
                <w:left w:val="none" w:sz="0" w:space="0" w:color="auto"/>
                <w:bottom w:val="none" w:sz="0" w:space="0" w:color="auto"/>
                <w:right w:val="none" w:sz="0" w:space="0" w:color="auto"/>
              </w:divBdr>
            </w:div>
            <w:div w:id="1325863145">
              <w:marLeft w:val="105"/>
              <w:marRight w:val="105"/>
              <w:marTop w:val="0"/>
              <w:marBottom w:val="0"/>
              <w:divBdr>
                <w:top w:val="none" w:sz="0" w:space="0" w:color="auto"/>
                <w:left w:val="none" w:sz="0" w:space="0" w:color="auto"/>
                <w:bottom w:val="none" w:sz="0" w:space="0" w:color="auto"/>
                <w:right w:val="none" w:sz="0" w:space="0" w:color="auto"/>
              </w:divBdr>
            </w:div>
            <w:div w:id="1133598332">
              <w:marLeft w:val="105"/>
              <w:marRight w:val="105"/>
              <w:marTop w:val="0"/>
              <w:marBottom w:val="0"/>
              <w:divBdr>
                <w:top w:val="none" w:sz="0" w:space="0" w:color="auto"/>
                <w:left w:val="none" w:sz="0" w:space="0" w:color="auto"/>
                <w:bottom w:val="none" w:sz="0" w:space="0" w:color="auto"/>
                <w:right w:val="none" w:sz="0" w:space="0" w:color="auto"/>
              </w:divBdr>
            </w:div>
          </w:divsChild>
        </w:div>
        <w:div w:id="2133015014">
          <w:marLeft w:val="0"/>
          <w:marRight w:val="0"/>
          <w:marTop w:val="150"/>
          <w:marBottom w:val="150"/>
          <w:divBdr>
            <w:top w:val="none" w:sz="0" w:space="0" w:color="auto"/>
            <w:left w:val="none" w:sz="0" w:space="0" w:color="auto"/>
            <w:bottom w:val="none" w:sz="0" w:space="0" w:color="auto"/>
            <w:right w:val="none" w:sz="0" w:space="0" w:color="auto"/>
          </w:divBdr>
        </w:div>
      </w:divsChild>
    </w:div>
    <w:div w:id="1527980556">
      <w:bodyDiv w:val="1"/>
      <w:marLeft w:val="0"/>
      <w:marRight w:val="0"/>
      <w:marTop w:val="0"/>
      <w:marBottom w:val="0"/>
      <w:divBdr>
        <w:top w:val="none" w:sz="0" w:space="0" w:color="auto"/>
        <w:left w:val="none" w:sz="0" w:space="0" w:color="auto"/>
        <w:bottom w:val="none" w:sz="0" w:space="0" w:color="auto"/>
        <w:right w:val="none" w:sz="0" w:space="0" w:color="auto"/>
      </w:divBdr>
      <w:divsChild>
        <w:div w:id="1677269091">
          <w:marLeft w:val="0"/>
          <w:marRight w:val="0"/>
          <w:marTop w:val="150"/>
          <w:marBottom w:val="150"/>
          <w:divBdr>
            <w:top w:val="none" w:sz="0" w:space="0" w:color="auto"/>
            <w:left w:val="none" w:sz="0" w:space="0" w:color="auto"/>
            <w:bottom w:val="none" w:sz="0" w:space="0" w:color="auto"/>
            <w:right w:val="none" w:sz="0" w:space="0" w:color="auto"/>
          </w:divBdr>
        </w:div>
        <w:div w:id="1200245038">
          <w:marLeft w:val="0"/>
          <w:marRight w:val="0"/>
          <w:marTop w:val="75"/>
          <w:marBottom w:val="75"/>
          <w:divBdr>
            <w:top w:val="none" w:sz="0" w:space="0" w:color="auto"/>
            <w:left w:val="none" w:sz="0" w:space="0" w:color="auto"/>
            <w:bottom w:val="none" w:sz="0" w:space="0" w:color="auto"/>
            <w:right w:val="none" w:sz="0" w:space="0" w:color="auto"/>
          </w:divBdr>
          <w:divsChild>
            <w:div w:id="393889768">
              <w:marLeft w:val="105"/>
              <w:marRight w:val="105"/>
              <w:marTop w:val="0"/>
              <w:marBottom w:val="0"/>
              <w:divBdr>
                <w:top w:val="none" w:sz="0" w:space="0" w:color="auto"/>
                <w:left w:val="none" w:sz="0" w:space="0" w:color="auto"/>
                <w:bottom w:val="none" w:sz="0" w:space="0" w:color="auto"/>
                <w:right w:val="none" w:sz="0" w:space="0" w:color="auto"/>
              </w:divBdr>
            </w:div>
            <w:div w:id="728112239">
              <w:marLeft w:val="105"/>
              <w:marRight w:val="105"/>
              <w:marTop w:val="0"/>
              <w:marBottom w:val="0"/>
              <w:divBdr>
                <w:top w:val="none" w:sz="0" w:space="0" w:color="auto"/>
                <w:left w:val="none" w:sz="0" w:space="0" w:color="auto"/>
                <w:bottom w:val="none" w:sz="0" w:space="0" w:color="auto"/>
                <w:right w:val="none" w:sz="0" w:space="0" w:color="auto"/>
              </w:divBdr>
            </w:div>
            <w:div w:id="1865434562">
              <w:marLeft w:val="105"/>
              <w:marRight w:val="105"/>
              <w:marTop w:val="0"/>
              <w:marBottom w:val="0"/>
              <w:divBdr>
                <w:top w:val="none" w:sz="0" w:space="0" w:color="auto"/>
                <w:left w:val="none" w:sz="0" w:space="0" w:color="auto"/>
                <w:bottom w:val="none" w:sz="0" w:space="0" w:color="auto"/>
                <w:right w:val="none" w:sz="0" w:space="0" w:color="auto"/>
              </w:divBdr>
            </w:div>
          </w:divsChild>
        </w:div>
        <w:div w:id="197460111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bzjbgs@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dc:creator>
  <cp:keywords/>
  <dc:description/>
  <cp:lastModifiedBy>l c</cp:lastModifiedBy>
  <cp:revision>4</cp:revision>
  <dcterms:created xsi:type="dcterms:W3CDTF">2025-04-29T13:40:00Z</dcterms:created>
  <dcterms:modified xsi:type="dcterms:W3CDTF">2025-04-29T14:34:00Z</dcterms:modified>
</cp:coreProperties>
</file>