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B69D" w14:textId="77777777" w:rsidR="008E19FE" w:rsidRPr="00F8692A" w:rsidRDefault="008E19FE" w:rsidP="00F8692A">
      <w:pPr>
        <w:spacing w:line="360" w:lineRule="auto"/>
        <w:jc w:val="center"/>
        <w:rPr>
          <w:rFonts w:ascii="方正小标宋简体" w:eastAsia="方正小标宋简体" w:hint="eastAsia"/>
          <w:sz w:val="32"/>
          <w:szCs w:val="32"/>
        </w:rPr>
      </w:pPr>
      <w:r w:rsidRPr="00F8692A">
        <w:rPr>
          <w:rFonts w:ascii="方正小标宋简体" w:eastAsia="方正小标宋简体" w:hint="eastAsia"/>
          <w:sz w:val="32"/>
          <w:szCs w:val="32"/>
        </w:rPr>
        <w:t>2025年度决策咨询研究财政专项课题申报通知</w:t>
      </w:r>
    </w:p>
    <w:p w14:paraId="38C82E8B" w14:textId="4C15870D" w:rsidR="008E19FE" w:rsidRPr="00F8692A" w:rsidRDefault="008E19FE" w:rsidP="00F8692A">
      <w:pPr>
        <w:spacing w:beforeLines="50" w:before="156" w:line="360" w:lineRule="auto"/>
        <w:rPr>
          <w:rFonts w:ascii="仿宋_GB2312" w:eastAsia="仿宋_GB2312" w:hint="eastAsia"/>
          <w:sz w:val="28"/>
          <w:szCs w:val="28"/>
        </w:rPr>
      </w:pPr>
      <w:r w:rsidRPr="00F8692A">
        <w:rPr>
          <w:rFonts w:ascii="仿宋_GB2312" w:eastAsia="仿宋_GB2312" w:hint="eastAsia"/>
          <w:sz w:val="28"/>
          <w:szCs w:val="28"/>
        </w:rPr>
        <w:t>各有关单位：</w:t>
      </w:r>
    </w:p>
    <w:p w14:paraId="72AE4E61"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现将2025年度决策咨询研究财政专项课题面向社会公开征集研究团队。具体事项通知如下：</w:t>
      </w:r>
    </w:p>
    <w:p w14:paraId="2401CECF"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b/>
          <w:bCs/>
          <w:sz w:val="28"/>
          <w:szCs w:val="28"/>
        </w:rPr>
        <w:t>一、申报目录</w:t>
      </w:r>
    </w:p>
    <w:p w14:paraId="7467A081"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1.关于财税支持“五个中心”建设“十五五”规划专题研究</w:t>
      </w:r>
    </w:p>
    <w:p w14:paraId="468575BD"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2.关于加强财政资源和预算统筹“十五五”规划专题研究</w:t>
      </w:r>
    </w:p>
    <w:p w14:paraId="0902BDB0"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3.关于深化零基预算改革“十五五”规划专题研究</w:t>
      </w:r>
    </w:p>
    <w:p w14:paraId="4933BD3D"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4.关于深化财税体制改革视野下的消费税改革研究</w:t>
      </w:r>
    </w:p>
    <w:p w14:paraId="60EF9EC1"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b/>
          <w:bCs/>
          <w:sz w:val="28"/>
          <w:szCs w:val="28"/>
        </w:rPr>
        <w:t>二、申报对象</w:t>
      </w:r>
    </w:p>
    <w:p w14:paraId="63AA4AE5"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本次申报面向全国高等院校、科研机构、社会团体、企业等单位（不包括公益一类事业单位）或个人（个人申报须有课题依托管理单位）。</w:t>
      </w:r>
    </w:p>
    <w:p w14:paraId="17082BE7"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申请人须具有较高的政治素质，熟悉决策咨询研究工作，并具有与所申报课题相关的研究基础。</w:t>
      </w:r>
    </w:p>
    <w:p w14:paraId="2F89084C"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申请人应是所在单位的全职在岗人员。</w:t>
      </w:r>
    </w:p>
    <w:p w14:paraId="37101B1C"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b/>
          <w:bCs/>
          <w:sz w:val="28"/>
          <w:szCs w:val="28"/>
        </w:rPr>
        <w:t> </w:t>
      </w:r>
      <w:r w:rsidRPr="00F8692A">
        <w:rPr>
          <w:rFonts w:ascii="仿宋_GB2312" w:eastAsia="仿宋_GB2312" w:hint="eastAsia"/>
          <w:b/>
          <w:bCs/>
          <w:sz w:val="28"/>
          <w:szCs w:val="28"/>
        </w:rPr>
        <w:t>在申报截止日之前，已作为课题负责人承担在</w:t>
      </w:r>
      <w:proofErr w:type="gramStart"/>
      <w:r w:rsidRPr="00F8692A">
        <w:rPr>
          <w:rFonts w:ascii="仿宋_GB2312" w:eastAsia="仿宋_GB2312" w:hint="eastAsia"/>
          <w:b/>
          <w:bCs/>
          <w:sz w:val="28"/>
          <w:szCs w:val="28"/>
        </w:rPr>
        <w:t>研</w:t>
      </w:r>
      <w:proofErr w:type="gramEnd"/>
      <w:r w:rsidRPr="00F8692A">
        <w:rPr>
          <w:rFonts w:ascii="仿宋_GB2312" w:eastAsia="仿宋_GB2312" w:hint="eastAsia"/>
          <w:b/>
          <w:bCs/>
          <w:sz w:val="28"/>
          <w:szCs w:val="28"/>
        </w:rPr>
        <w:t>的市政府决策咨询课题的人员，不得申请。</w:t>
      </w:r>
    </w:p>
    <w:p w14:paraId="7FECD04B"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b/>
          <w:bCs/>
          <w:sz w:val="28"/>
          <w:szCs w:val="28"/>
        </w:rPr>
        <w:t>三、申报方式及程序</w:t>
      </w:r>
    </w:p>
    <w:p w14:paraId="3AFFC642"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1.申报方式：采用网上申报方式，无需提交纸质材料。申请人通过登录上海市人民政府发展研究中心网站（http://www.fzzx.sh.gov.cn）——“课题申报”栏目——“决策咨</w:t>
      </w:r>
      <w:r w:rsidRPr="00F8692A">
        <w:rPr>
          <w:rFonts w:ascii="仿宋_GB2312" w:eastAsia="仿宋_GB2312" w:hint="eastAsia"/>
          <w:sz w:val="28"/>
          <w:szCs w:val="28"/>
        </w:rPr>
        <w:lastRenderedPageBreak/>
        <w:t>询研究项目管理平台”进行申报。</w:t>
      </w:r>
    </w:p>
    <w:p w14:paraId="016592F2" w14:textId="76AD7E6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2.申报步骤：（1）申请人注册并完成实名认证（已注册用户可直接登录）；（</w:t>
      </w:r>
      <w:r w:rsidR="00F8692A">
        <w:rPr>
          <w:rFonts w:ascii="仿宋_GB2312" w:eastAsia="仿宋_GB2312" w:hint="eastAsia"/>
          <w:sz w:val="28"/>
          <w:szCs w:val="28"/>
        </w:rPr>
        <w:t>2</w:t>
      </w:r>
      <w:r w:rsidRPr="00F8692A">
        <w:rPr>
          <w:rFonts w:ascii="仿宋_GB2312" w:eastAsia="仿宋_GB2312" w:hint="eastAsia"/>
          <w:sz w:val="28"/>
          <w:szCs w:val="28"/>
        </w:rPr>
        <w:t>）申请人填写提交申报材料；（</w:t>
      </w:r>
      <w:r w:rsidR="00F8692A">
        <w:rPr>
          <w:rFonts w:ascii="仿宋_GB2312" w:eastAsia="仿宋_GB2312" w:hint="eastAsia"/>
          <w:sz w:val="28"/>
          <w:szCs w:val="28"/>
        </w:rPr>
        <w:t>3</w:t>
      </w:r>
      <w:r w:rsidRPr="00F8692A">
        <w:rPr>
          <w:rFonts w:ascii="仿宋_GB2312" w:eastAsia="仿宋_GB2312" w:hint="eastAsia"/>
          <w:sz w:val="28"/>
          <w:szCs w:val="28"/>
        </w:rPr>
        <w:t>）申请人所在单位完成网上审核。</w:t>
      </w:r>
    </w:p>
    <w:p w14:paraId="30C2ED89"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3.课题指南获取：登录上海市人民政府发展研究中心网站查阅《2025年度决策咨询研究财政专项课题指南》。</w:t>
      </w:r>
    </w:p>
    <w:p w14:paraId="411F6D46"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4.申报数量限制：</w:t>
      </w:r>
      <w:r w:rsidRPr="00F8692A">
        <w:rPr>
          <w:rFonts w:ascii="仿宋_GB2312" w:eastAsia="仿宋_GB2312" w:hint="eastAsia"/>
          <w:b/>
          <w:bCs/>
          <w:sz w:val="28"/>
          <w:szCs w:val="28"/>
        </w:rPr>
        <w:t>同一申请人限申报1项</w:t>
      </w:r>
      <w:r w:rsidRPr="00F8692A">
        <w:rPr>
          <w:rFonts w:ascii="仿宋_GB2312" w:eastAsia="仿宋_GB2312" w:hint="eastAsia"/>
          <w:sz w:val="28"/>
          <w:szCs w:val="28"/>
        </w:rPr>
        <w:t>。</w:t>
      </w:r>
    </w:p>
    <w:p w14:paraId="6DAFE6DD"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5.在线填写要求：申请人应仔细阅读课题指南和填表说明；申报材料应简明扼要，突出重点和关键，其中《课题论证活页》部分不得出现课题申请人及成员的姓名和单位，字数限3000字，图表不超过规定尺寸。</w:t>
      </w:r>
    </w:p>
    <w:p w14:paraId="103898EF" w14:textId="2F849A9D"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6.</w:t>
      </w:r>
      <w:r w:rsidRPr="00F8692A">
        <w:rPr>
          <w:rFonts w:ascii="仿宋_GB2312" w:eastAsia="仿宋_GB2312" w:hint="eastAsia"/>
          <w:b/>
          <w:bCs/>
          <w:sz w:val="28"/>
          <w:szCs w:val="28"/>
        </w:rPr>
        <w:t xml:space="preserve"> 网上申报受理日期：2025年4月30日（星期三）至5月1</w:t>
      </w:r>
      <w:r w:rsidR="00F8692A" w:rsidRPr="00F8692A">
        <w:rPr>
          <w:rFonts w:ascii="仿宋_GB2312" w:eastAsia="仿宋_GB2312" w:hint="eastAsia"/>
          <w:b/>
          <w:bCs/>
          <w:sz w:val="28"/>
          <w:szCs w:val="28"/>
        </w:rPr>
        <w:t>5</w:t>
      </w:r>
      <w:r w:rsidRPr="00F8692A">
        <w:rPr>
          <w:rFonts w:ascii="仿宋_GB2312" w:eastAsia="仿宋_GB2312" w:hint="eastAsia"/>
          <w:b/>
          <w:bCs/>
          <w:sz w:val="28"/>
          <w:szCs w:val="28"/>
        </w:rPr>
        <w:t>日（星期</w:t>
      </w:r>
      <w:r w:rsidR="00F8692A" w:rsidRPr="00F8692A">
        <w:rPr>
          <w:rFonts w:ascii="仿宋_GB2312" w:eastAsia="仿宋_GB2312" w:hint="eastAsia"/>
          <w:b/>
          <w:bCs/>
          <w:sz w:val="28"/>
          <w:szCs w:val="28"/>
        </w:rPr>
        <w:t>四</w:t>
      </w:r>
      <w:r w:rsidRPr="00F8692A">
        <w:rPr>
          <w:rFonts w:ascii="仿宋_GB2312" w:eastAsia="仿宋_GB2312" w:hint="eastAsia"/>
          <w:b/>
          <w:bCs/>
          <w:sz w:val="28"/>
          <w:szCs w:val="28"/>
        </w:rPr>
        <w:t xml:space="preserve">） </w:t>
      </w:r>
      <w:r w:rsidR="00F8692A" w:rsidRPr="00F8692A">
        <w:rPr>
          <w:rFonts w:ascii="仿宋_GB2312" w:eastAsia="仿宋_GB2312" w:hint="eastAsia"/>
          <w:b/>
          <w:bCs/>
          <w:sz w:val="28"/>
          <w:szCs w:val="28"/>
        </w:rPr>
        <w:t>。</w:t>
      </w:r>
    </w:p>
    <w:p w14:paraId="664FCAFC"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b/>
          <w:bCs/>
          <w:sz w:val="28"/>
          <w:szCs w:val="28"/>
        </w:rPr>
        <w:t>四、评审程序</w:t>
      </w:r>
    </w:p>
    <w:p w14:paraId="1E2B0E4D"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1.申报受理后，由受理单位组织进行两轮评审。</w:t>
      </w:r>
    </w:p>
    <w:p w14:paraId="74D050E6"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2.评审结果将于2025年6月在上海市人民政府发展研究中心网站向社会公布。</w:t>
      </w:r>
    </w:p>
    <w:p w14:paraId="76BC78D8"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b/>
          <w:bCs/>
          <w:sz w:val="28"/>
          <w:szCs w:val="28"/>
        </w:rPr>
        <w:t>五、研究进度要求</w:t>
      </w:r>
    </w:p>
    <w:p w14:paraId="3774E8E3"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1.课题组按要求须填报《上海市人民政府决策咨询研究项目计划任务书》，并提交详细研究提纲和具体实施计划。</w:t>
      </w:r>
    </w:p>
    <w:p w14:paraId="1B170E08"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2.研究期限为2025年6月至11月。</w:t>
      </w:r>
    </w:p>
    <w:p w14:paraId="5E81F9E8"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3.提交研究成果包括：研究报告（含摘要），由受理单位组织专</w:t>
      </w:r>
      <w:r w:rsidRPr="00F8692A">
        <w:rPr>
          <w:rFonts w:ascii="仿宋_GB2312" w:eastAsia="仿宋_GB2312" w:hint="eastAsia"/>
          <w:sz w:val="28"/>
          <w:szCs w:val="28"/>
        </w:rPr>
        <w:lastRenderedPageBreak/>
        <w:t>家</w:t>
      </w:r>
      <w:proofErr w:type="gramStart"/>
      <w:r w:rsidRPr="00F8692A">
        <w:rPr>
          <w:rFonts w:ascii="仿宋_GB2312" w:eastAsia="仿宋_GB2312" w:hint="eastAsia"/>
          <w:sz w:val="28"/>
          <w:szCs w:val="28"/>
        </w:rPr>
        <w:t>开展结项评审</w:t>
      </w:r>
      <w:proofErr w:type="gramEnd"/>
      <w:r w:rsidRPr="00F8692A">
        <w:rPr>
          <w:rFonts w:ascii="仿宋_GB2312" w:eastAsia="仿宋_GB2312" w:hint="eastAsia"/>
          <w:sz w:val="28"/>
          <w:szCs w:val="28"/>
        </w:rPr>
        <w:t>验收。</w:t>
      </w:r>
    </w:p>
    <w:p w14:paraId="3B5D318B"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b/>
          <w:bCs/>
          <w:sz w:val="28"/>
          <w:szCs w:val="28"/>
        </w:rPr>
        <w:t>六、经费资助</w:t>
      </w:r>
    </w:p>
    <w:p w14:paraId="0142696E"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资助经费由上海市财政局承担，每项课题资助人民币5万元。</w:t>
      </w:r>
    </w:p>
    <w:p w14:paraId="6BD362D2"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b/>
          <w:bCs/>
          <w:sz w:val="28"/>
          <w:szCs w:val="28"/>
        </w:rPr>
        <w:t>七、联系方式</w:t>
      </w:r>
    </w:p>
    <w:p w14:paraId="27830588"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受理部门：上海市财政局</w:t>
      </w:r>
    </w:p>
    <w:p w14:paraId="6877FF5B"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联系地址：上海市肇嘉</w:t>
      </w:r>
      <w:proofErr w:type="gramStart"/>
      <w:r w:rsidRPr="00F8692A">
        <w:rPr>
          <w:rFonts w:ascii="仿宋_GB2312" w:eastAsia="仿宋_GB2312" w:hint="eastAsia"/>
          <w:sz w:val="28"/>
          <w:szCs w:val="28"/>
        </w:rPr>
        <w:t>浜</w:t>
      </w:r>
      <w:proofErr w:type="gramEnd"/>
      <w:r w:rsidRPr="00F8692A">
        <w:rPr>
          <w:rFonts w:ascii="仿宋_GB2312" w:eastAsia="仿宋_GB2312" w:hint="eastAsia"/>
          <w:sz w:val="28"/>
          <w:szCs w:val="28"/>
        </w:rPr>
        <w:t>路800号2107室（邮编：200030）</w:t>
      </w:r>
    </w:p>
    <w:p w14:paraId="5E8C34CD"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联 系 人：杜老师</w:t>
      </w:r>
    </w:p>
    <w:p w14:paraId="43D28825"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联系电话：021-54679568-21072</w:t>
      </w:r>
    </w:p>
    <w:p w14:paraId="7EBDCDF4" w14:textId="77777777" w:rsidR="008E19FE" w:rsidRDefault="008E19FE" w:rsidP="00F8692A">
      <w:pPr>
        <w:spacing w:line="360" w:lineRule="auto"/>
        <w:rPr>
          <w:rFonts w:ascii="仿宋_GB2312" w:eastAsia="仿宋_GB2312"/>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传真：54906057</w:t>
      </w:r>
    </w:p>
    <w:p w14:paraId="78DE8842" w14:textId="170FA6B1" w:rsidR="00F8692A" w:rsidRPr="00F8692A" w:rsidRDefault="00F8692A" w:rsidP="00F8692A">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校内联系人：程琳  13621663467</w:t>
      </w:r>
    </w:p>
    <w:p w14:paraId="5292F3AA"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特此通知。</w:t>
      </w:r>
    </w:p>
    <w:p w14:paraId="4E950502" w14:textId="77777777" w:rsidR="00F8692A" w:rsidRDefault="008E19FE" w:rsidP="00F8692A">
      <w:pPr>
        <w:spacing w:line="360" w:lineRule="auto"/>
        <w:rPr>
          <w:rFonts w:ascii="仿宋_GB2312" w:eastAsia="仿宋_GB2312"/>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p>
    <w:p w14:paraId="612F4316" w14:textId="77777777" w:rsidR="00F8692A" w:rsidRDefault="00F8692A" w:rsidP="00F8692A">
      <w:pPr>
        <w:spacing w:line="360" w:lineRule="auto"/>
        <w:rPr>
          <w:rFonts w:ascii="仿宋_GB2312" w:eastAsia="仿宋_GB2312" w:hint="eastAsia"/>
          <w:sz w:val="28"/>
          <w:szCs w:val="28"/>
        </w:rPr>
      </w:pPr>
    </w:p>
    <w:p w14:paraId="6A9A9B7E" w14:textId="4E7A8D8C"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附件：2025年度决策咨询研究财政专项课题指南</w:t>
      </w:r>
    </w:p>
    <w:p w14:paraId="484C2FB4" w14:textId="77777777" w:rsidR="008E19FE" w:rsidRDefault="008E19FE" w:rsidP="00F8692A">
      <w:pPr>
        <w:spacing w:line="360" w:lineRule="auto"/>
        <w:rPr>
          <w:rFonts w:ascii="仿宋_GB2312" w:eastAsia="仿宋_GB2312"/>
          <w:sz w:val="28"/>
          <w:szCs w:val="28"/>
        </w:rPr>
      </w:pPr>
      <w:r w:rsidRPr="00F8692A">
        <w:rPr>
          <w:rFonts w:ascii="仿宋_GB2312" w:eastAsia="仿宋_GB2312" w:hint="eastAsia"/>
          <w:sz w:val="28"/>
          <w:szCs w:val="28"/>
        </w:rPr>
        <w:t> </w:t>
      </w:r>
    </w:p>
    <w:p w14:paraId="48F32DB7" w14:textId="77777777" w:rsidR="00F8692A" w:rsidRPr="00F8692A" w:rsidRDefault="00F8692A" w:rsidP="00F8692A">
      <w:pPr>
        <w:spacing w:line="360" w:lineRule="auto"/>
        <w:rPr>
          <w:rFonts w:ascii="仿宋_GB2312" w:eastAsia="仿宋_GB2312" w:hint="eastAsia"/>
          <w:sz w:val="28"/>
          <w:szCs w:val="28"/>
        </w:rPr>
      </w:pPr>
    </w:p>
    <w:p w14:paraId="1785EC09" w14:textId="77777777" w:rsidR="00F8692A" w:rsidRDefault="00F8692A" w:rsidP="00F8692A">
      <w:pPr>
        <w:adjustRightInd w:val="0"/>
        <w:snapToGrid w:val="0"/>
        <w:spacing w:line="360" w:lineRule="auto"/>
        <w:jc w:val="right"/>
        <w:rPr>
          <w:rFonts w:ascii="仿宋_GB2312" w:eastAsia="仿宋_GB2312"/>
          <w:sz w:val="28"/>
          <w:szCs w:val="28"/>
        </w:rPr>
      </w:pPr>
      <w:bookmarkStart w:id="0" w:name="_Hlk196857496"/>
      <w:r>
        <w:rPr>
          <w:rFonts w:ascii="仿宋_GB2312" w:eastAsia="仿宋_GB2312" w:hint="eastAsia"/>
          <w:sz w:val="28"/>
          <w:szCs w:val="28"/>
        </w:rPr>
        <w:t>上海对外经贸大学</w:t>
      </w:r>
    </w:p>
    <w:p w14:paraId="07BCC694" w14:textId="77777777" w:rsidR="00F8692A" w:rsidRDefault="00F8692A" w:rsidP="00F8692A">
      <w:pPr>
        <w:adjustRightInd w:val="0"/>
        <w:snapToGrid w:val="0"/>
        <w:spacing w:line="360" w:lineRule="auto"/>
        <w:jc w:val="right"/>
        <w:rPr>
          <w:rFonts w:ascii="仿宋_GB2312" w:eastAsia="仿宋_GB2312"/>
          <w:sz w:val="28"/>
          <w:szCs w:val="28"/>
        </w:rPr>
      </w:pPr>
      <w:r>
        <w:rPr>
          <w:rFonts w:ascii="仿宋_GB2312" w:eastAsia="仿宋_GB2312" w:hint="eastAsia"/>
          <w:sz w:val="28"/>
          <w:szCs w:val="28"/>
        </w:rPr>
        <w:t>科研处</w:t>
      </w:r>
    </w:p>
    <w:p w14:paraId="701AD3CF" w14:textId="77777777" w:rsidR="00F8692A" w:rsidRPr="00257B8C" w:rsidRDefault="00F8692A" w:rsidP="00F8692A">
      <w:pPr>
        <w:adjustRightInd w:val="0"/>
        <w:snapToGrid w:val="0"/>
        <w:spacing w:line="360" w:lineRule="auto"/>
        <w:jc w:val="right"/>
        <w:rPr>
          <w:rFonts w:ascii="仿宋_GB2312" w:eastAsia="仿宋_GB2312" w:hint="eastAsia"/>
          <w:sz w:val="28"/>
          <w:szCs w:val="28"/>
        </w:rPr>
      </w:pPr>
      <w:r>
        <w:rPr>
          <w:rFonts w:ascii="仿宋_GB2312" w:eastAsia="仿宋_GB2312" w:hint="eastAsia"/>
          <w:sz w:val="28"/>
          <w:szCs w:val="28"/>
        </w:rPr>
        <w:t>2025年4月29日</w:t>
      </w:r>
    </w:p>
    <w:bookmarkEnd w:id="0"/>
    <w:p w14:paraId="69CE9399" w14:textId="77777777" w:rsidR="008E19FE" w:rsidRDefault="008E19FE" w:rsidP="00F8692A">
      <w:pPr>
        <w:spacing w:line="360" w:lineRule="auto"/>
        <w:rPr>
          <w:rFonts w:ascii="仿宋_GB2312" w:eastAsia="仿宋_GB2312"/>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p>
    <w:p w14:paraId="11E13DA6" w14:textId="77777777" w:rsidR="00F8692A" w:rsidRDefault="00F8692A" w:rsidP="00F8692A">
      <w:pPr>
        <w:spacing w:line="360" w:lineRule="auto"/>
        <w:rPr>
          <w:rFonts w:ascii="仿宋_GB2312" w:eastAsia="仿宋_GB2312"/>
          <w:sz w:val="28"/>
          <w:szCs w:val="28"/>
        </w:rPr>
      </w:pPr>
    </w:p>
    <w:p w14:paraId="65FA6E7E" w14:textId="77777777" w:rsidR="00F8692A" w:rsidRPr="00F8692A" w:rsidRDefault="00F8692A" w:rsidP="00F8692A">
      <w:pPr>
        <w:spacing w:line="360" w:lineRule="auto"/>
        <w:rPr>
          <w:rFonts w:ascii="仿宋_GB2312" w:eastAsia="仿宋_GB2312" w:hint="eastAsia"/>
          <w:sz w:val="28"/>
          <w:szCs w:val="28"/>
        </w:rPr>
      </w:pPr>
    </w:p>
    <w:p w14:paraId="350152EA" w14:textId="536DD43A"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lastRenderedPageBreak/>
        <w:t>附件</w:t>
      </w:r>
      <w:r w:rsidR="00F8692A">
        <w:rPr>
          <w:rFonts w:ascii="仿宋_GB2312" w:eastAsia="仿宋_GB2312" w:hint="eastAsia"/>
          <w:sz w:val="28"/>
          <w:szCs w:val="28"/>
        </w:rPr>
        <w:t>：</w:t>
      </w:r>
    </w:p>
    <w:p w14:paraId="0ED697EE" w14:textId="24AA25FE" w:rsidR="008E19FE" w:rsidRPr="004C4CD8" w:rsidRDefault="008E19FE" w:rsidP="004C4CD8">
      <w:pPr>
        <w:spacing w:line="360" w:lineRule="auto"/>
        <w:jc w:val="center"/>
        <w:rPr>
          <w:rFonts w:ascii="方正小标宋简体" w:eastAsia="方正小标宋简体" w:hint="eastAsia"/>
          <w:sz w:val="32"/>
          <w:szCs w:val="32"/>
        </w:rPr>
      </w:pPr>
      <w:r w:rsidRPr="004C4CD8">
        <w:rPr>
          <w:rFonts w:ascii="方正小标宋简体" w:eastAsia="方正小标宋简体" w:hint="eastAsia"/>
          <w:sz w:val="32"/>
          <w:szCs w:val="32"/>
        </w:rPr>
        <w:t>2025年度决策咨询研究财政专项课题指南</w:t>
      </w:r>
    </w:p>
    <w:p w14:paraId="598F2C6C" w14:textId="3F19B7F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b/>
          <w:bCs/>
          <w:sz w:val="28"/>
          <w:szCs w:val="28"/>
        </w:rPr>
        <w:t>一、关于财税支持“五个中心”建设“十五五”规划专题研究</w:t>
      </w:r>
    </w:p>
    <w:p w14:paraId="64A81674" w14:textId="77777777" w:rsidR="008E19FE" w:rsidRPr="004C4CD8" w:rsidRDefault="008E19FE" w:rsidP="00F8692A">
      <w:pPr>
        <w:spacing w:line="360" w:lineRule="auto"/>
        <w:rPr>
          <w:rFonts w:ascii="仿宋_GB2312" w:eastAsia="仿宋_GB2312" w:hint="eastAsia"/>
          <w:b/>
          <w:bCs/>
          <w:sz w:val="28"/>
          <w:szCs w:val="28"/>
        </w:rPr>
      </w:pPr>
      <w:r w:rsidRPr="004C4CD8">
        <w:rPr>
          <w:rFonts w:ascii="仿宋_GB2312" w:eastAsia="仿宋_GB2312" w:hint="eastAsia"/>
          <w:b/>
          <w:bCs/>
          <w:sz w:val="28"/>
          <w:szCs w:val="28"/>
        </w:rPr>
        <w:t> </w:t>
      </w:r>
      <w:r w:rsidRPr="004C4CD8">
        <w:rPr>
          <w:rFonts w:ascii="仿宋_GB2312" w:eastAsia="仿宋_GB2312" w:hint="eastAsia"/>
          <w:b/>
          <w:bCs/>
          <w:sz w:val="28"/>
          <w:szCs w:val="28"/>
        </w:rPr>
        <w:t> </w:t>
      </w:r>
      <w:r w:rsidRPr="004C4CD8">
        <w:rPr>
          <w:rFonts w:ascii="仿宋_GB2312" w:eastAsia="仿宋_GB2312" w:hint="eastAsia"/>
          <w:b/>
          <w:bCs/>
          <w:sz w:val="28"/>
          <w:szCs w:val="28"/>
        </w:rPr>
        <w:t>研究目的与要求：</w:t>
      </w:r>
    </w:p>
    <w:p w14:paraId="1F725D93"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五个中心”（国际经济中心、国际金融中心、国际贸易中心、国际航运中心、国际科技创新中心）建设是本市提升全球资源配置能力、服务国家战略的核心任务。2025年是“十四五”规划收官之年，需进一步优化财税政策，强化对“五个中心”建设的精准支持，推动“五个中心”高质量协同发展。</w:t>
      </w:r>
    </w:p>
    <w:p w14:paraId="017C866E"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本课题需立足国家战略导向和区域发展实际，聚焦“十五五”期间财税政策创新需求，深入分析“五个中心”协同发展的政策瓶颈，结合国际先进经验，提出具有前瞻性、可操作性的财税支持方案，为高质量编制“十五五”规划提供决策支撑。</w:t>
      </w:r>
    </w:p>
    <w:p w14:paraId="213DDC04"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4C4CD8">
        <w:rPr>
          <w:rFonts w:ascii="仿宋_GB2312" w:eastAsia="仿宋_GB2312" w:hint="eastAsia"/>
          <w:b/>
          <w:bCs/>
          <w:sz w:val="28"/>
          <w:szCs w:val="28"/>
        </w:rPr>
        <w:t>本课题重点研究但不限于以下方面：</w:t>
      </w:r>
    </w:p>
    <w:p w14:paraId="5D2E45D1"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1.系统评估本市“五个中心”建设进展情况，总结财税政策现有支持措施的成效与不足。</w:t>
      </w:r>
    </w:p>
    <w:p w14:paraId="53394964"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2.借鉴国际经验，对标DEPA、CPTPP等国际高标准经贸规则，选取纽约、伦敦等城市，研究其财税政策在促进金融开放、科技研发、贸易便利化等方面的创新实践。</w:t>
      </w:r>
    </w:p>
    <w:p w14:paraId="57C1570C"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3.根据国家对本市“五个中心”建设的部署要求，结合上海经济社会发展需要，提出短期措施和中长期制度性改革的具体建议，促进“五个中心”功能提升、联动发展。</w:t>
      </w:r>
    </w:p>
    <w:p w14:paraId="2F353968" w14:textId="75453498"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b/>
          <w:bCs/>
          <w:sz w:val="28"/>
          <w:szCs w:val="28"/>
        </w:rPr>
        <w:lastRenderedPageBreak/>
        <w:t>二、关于加强财政资源和预算统筹“十五五”规划专题研究</w:t>
      </w:r>
    </w:p>
    <w:p w14:paraId="27E820A7"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4C4CD8">
        <w:rPr>
          <w:rFonts w:ascii="仿宋_GB2312" w:eastAsia="仿宋_GB2312" w:hint="eastAsia"/>
          <w:b/>
          <w:bCs/>
          <w:sz w:val="28"/>
          <w:szCs w:val="28"/>
        </w:rPr>
        <w:t>研究目的与要求：</w:t>
      </w:r>
    </w:p>
    <w:p w14:paraId="0F39604B"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在当前财政紧平衡背景下，加强财政资源和预算统筹是实施积极财政政策、强化宏观调控能力的重要举措。党的二十届三中全会提出“加强财政资源和预算统筹”，拟通过系统分析梳理国内外财政资源和预算统筹的实践经验，分析提出新形势下如何加强收入组织工作，强化财政资金和资产、资源统筹，更好地盘活存量、带动增量，切实提高资金使用效益和政策效能。</w:t>
      </w:r>
    </w:p>
    <w:p w14:paraId="272FC483"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4C4CD8">
        <w:rPr>
          <w:rFonts w:ascii="仿宋_GB2312" w:eastAsia="仿宋_GB2312" w:hint="eastAsia"/>
          <w:b/>
          <w:bCs/>
          <w:sz w:val="28"/>
          <w:szCs w:val="28"/>
        </w:rPr>
        <w:t> </w:t>
      </w:r>
      <w:r w:rsidRPr="004C4CD8">
        <w:rPr>
          <w:rFonts w:ascii="仿宋_GB2312" w:eastAsia="仿宋_GB2312" w:hint="eastAsia"/>
          <w:b/>
          <w:bCs/>
          <w:sz w:val="28"/>
          <w:szCs w:val="28"/>
        </w:rPr>
        <w:t>本课题重点研究但不限于以下方面：</w:t>
      </w:r>
    </w:p>
    <w:p w14:paraId="6E928FF5"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1.深入分析近年来国家和本市税收、非税、政府性基金、国有资本经营预算等收入现状。梳理分析国家和本市财政资源和预算统筹的现状，包括但不限于政府预算统筹、部门预算统筹、资金资源资产统筹等方面。总结阐释国家关于加强财政资源和预算统筹的最新要求。</w:t>
      </w:r>
    </w:p>
    <w:p w14:paraId="07A996F4"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2.加强比较研究，总结提炼成功经验和典型做法，系统剖析“十五五”期间制约财政资源和预算统筹的难点痛点问题。</w:t>
      </w:r>
    </w:p>
    <w:p w14:paraId="1010C651"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3.基于国家关于加强财政资源和预算统筹的最新改革要求，结合本市实际，提出新形势下加强财政资源和预算统筹的改革方向和具体措施建议。包括但不限于如何落实“把依托行政权力、政府信用、国有资源资产获取的收入全部纳入政府预算管理”的要求，</w:t>
      </w:r>
      <w:proofErr w:type="gramStart"/>
      <w:r w:rsidRPr="00F8692A">
        <w:rPr>
          <w:rFonts w:ascii="仿宋_GB2312" w:eastAsia="仿宋_GB2312" w:hint="eastAsia"/>
          <w:sz w:val="28"/>
          <w:szCs w:val="28"/>
        </w:rPr>
        <w:t>完善全</w:t>
      </w:r>
      <w:proofErr w:type="gramEnd"/>
      <w:r w:rsidRPr="00F8692A">
        <w:rPr>
          <w:rFonts w:ascii="仿宋_GB2312" w:eastAsia="仿宋_GB2312" w:hint="eastAsia"/>
          <w:sz w:val="28"/>
          <w:szCs w:val="28"/>
        </w:rPr>
        <w:t>口径收入预算管理机制，推动财政收入持续稳定增长；如何进一步统一预算分配权，提高预算管理统一性、规范性；如何进一步健全资金安排统筹机制，加大“四本预算”、市级资金与债券资金及中央资金、当</w:t>
      </w:r>
      <w:r w:rsidRPr="00F8692A">
        <w:rPr>
          <w:rFonts w:ascii="仿宋_GB2312" w:eastAsia="仿宋_GB2312" w:hint="eastAsia"/>
          <w:sz w:val="28"/>
          <w:szCs w:val="28"/>
        </w:rPr>
        <w:lastRenderedPageBreak/>
        <w:t>年预算资金与结转结余资金、部门财政拨款收入与非财拨款收入等方面统筹力度，提升财政保障能力；如何健全完善资金资产资源统筹机制，更好盘活存量资产，优化资源配置，完善集中力量办大事的财政保障机制。</w:t>
      </w:r>
    </w:p>
    <w:p w14:paraId="6E94C353" w14:textId="3B2F9920"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b/>
          <w:bCs/>
          <w:sz w:val="28"/>
          <w:szCs w:val="28"/>
        </w:rPr>
        <w:t>三、关于深化零基预算改革“十五五”规划专题研究</w:t>
      </w:r>
    </w:p>
    <w:p w14:paraId="5C16464E" w14:textId="77777777" w:rsidR="008E19FE" w:rsidRPr="004C4CD8" w:rsidRDefault="008E19FE" w:rsidP="00F8692A">
      <w:pPr>
        <w:spacing w:line="360" w:lineRule="auto"/>
        <w:rPr>
          <w:rFonts w:ascii="仿宋_GB2312" w:eastAsia="仿宋_GB2312" w:hint="eastAsia"/>
          <w:b/>
          <w:bCs/>
          <w:sz w:val="28"/>
          <w:szCs w:val="28"/>
        </w:rPr>
      </w:pPr>
      <w:r w:rsidRPr="004C4CD8">
        <w:rPr>
          <w:rFonts w:ascii="仿宋_GB2312" w:eastAsia="仿宋_GB2312" w:hint="eastAsia"/>
          <w:b/>
          <w:bCs/>
          <w:sz w:val="28"/>
          <w:szCs w:val="28"/>
        </w:rPr>
        <w:t> </w:t>
      </w:r>
      <w:r w:rsidRPr="004C4CD8">
        <w:rPr>
          <w:rFonts w:ascii="仿宋_GB2312" w:eastAsia="仿宋_GB2312" w:hint="eastAsia"/>
          <w:b/>
          <w:bCs/>
          <w:sz w:val="28"/>
          <w:szCs w:val="28"/>
        </w:rPr>
        <w:t> </w:t>
      </w:r>
      <w:r w:rsidRPr="004C4CD8">
        <w:rPr>
          <w:rFonts w:ascii="仿宋_GB2312" w:eastAsia="仿宋_GB2312" w:hint="eastAsia"/>
          <w:b/>
          <w:bCs/>
          <w:sz w:val="28"/>
          <w:szCs w:val="28"/>
        </w:rPr>
        <w:t>研究目的与要求：</w:t>
      </w:r>
    </w:p>
    <w:p w14:paraId="5D94019D"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党的二十届三中全会审议通过《中共中央关于进一步全面深化改革、推进中国式现代化的决定》，将深化零基预算改革作为深化财税体制改革的重要改革任务。2025年全国财政工作会议进一步提出大力推进财政科学管理，推进零基预算改革。拟以问题为导向，通过系统梳理分析我国各地先进经验和国际创新理念做法，研究提出进一步深化零基预算改革的新思路、新举措，更好打破基数依赖和支出固化格局，提升预算管理的科学化、标准化、规范化水平。</w:t>
      </w:r>
    </w:p>
    <w:p w14:paraId="120ED7BA"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4C4CD8">
        <w:rPr>
          <w:rFonts w:ascii="仿宋_GB2312" w:eastAsia="仿宋_GB2312" w:hint="eastAsia"/>
          <w:b/>
          <w:bCs/>
          <w:sz w:val="28"/>
          <w:szCs w:val="28"/>
        </w:rPr>
        <w:t>本课题重点研究但不限于以下方面：</w:t>
      </w:r>
    </w:p>
    <w:p w14:paraId="5E76BF6E"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1.梳理历年国家和本市深化零基预算改革历程和现状，揭示深化零基预算改革难点，分析体制机制障碍等问题。 从理论和实践维度，深入分析党的二十届三中全会以来，国家关于深化零基预算改革的新要求，总结提炼新一轮零基预算改革内涵。</w:t>
      </w:r>
    </w:p>
    <w:p w14:paraId="0C9AB608"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2.加强兄弟省市经验比较研究，总结提炼可借鉴的成功经验做法。</w:t>
      </w:r>
    </w:p>
    <w:p w14:paraId="264606EE"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3.在充分论证合理性、必要性和可行性的基础上，提出切实可行的思路建议和改革措施。包括但不限于：如何贯彻零基预算理念，打破固化支出结构，完善预算编制；如何以零为基点，做好资金项目科</w:t>
      </w:r>
      <w:r w:rsidRPr="00F8692A">
        <w:rPr>
          <w:rFonts w:ascii="仿宋_GB2312" w:eastAsia="仿宋_GB2312" w:hint="eastAsia"/>
          <w:sz w:val="28"/>
          <w:szCs w:val="28"/>
        </w:rPr>
        <w:lastRenderedPageBreak/>
        <w:t>学归类整合，健全分级分类保障机制；如何完善财政支出项目库，加强项目排序，健全项目全生命周期管理机制；如何健全支出标准体系，完善动态调整机制，为预算编制提供科学依据；如何将过紧日子的要求贯穿零基预算管理过程，做到“小钱小气、大钱大方”等。</w:t>
      </w:r>
    </w:p>
    <w:p w14:paraId="6784B0E0" w14:textId="51FDBD0A"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b/>
          <w:bCs/>
          <w:sz w:val="28"/>
          <w:szCs w:val="28"/>
        </w:rPr>
        <w:t>四、关于深化财税体制改革视野下的消费税改革研究</w:t>
      </w:r>
    </w:p>
    <w:p w14:paraId="68826819"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4C4CD8">
        <w:rPr>
          <w:rFonts w:ascii="仿宋_GB2312" w:eastAsia="仿宋_GB2312" w:hint="eastAsia"/>
          <w:b/>
          <w:bCs/>
          <w:sz w:val="28"/>
          <w:szCs w:val="28"/>
        </w:rPr>
        <w:t>研究目的与要求：</w:t>
      </w:r>
    </w:p>
    <w:p w14:paraId="6DE08868"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消费税是我国现行税制体系中的一个重要税种，以特定消费品的流转额作为征税对象，具有引导合理消费、调节财富分配和筹集财政收入等重要职能作用。2024年，消费税法草案作为预备提请全国人大常委会审议事项被列入国务院年度立法工作计划。党的二十届三中全会通过的《中共中央关于进一步深化改革、推进中国式现代化的决定》，围绕深化财税体制改革，从健全预算制度、健全税收制度、完善中央和地方财政关系等方面</w:t>
      </w:r>
      <w:proofErr w:type="gramStart"/>
      <w:r w:rsidRPr="00F8692A">
        <w:rPr>
          <w:rFonts w:ascii="仿宋_GB2312" w:eastAsia="仿宋_GB2312" w:hint="eastAsia"/>
          <w:sz w:val="28"/>
          <w:szCs w:val="28"/>
        </w:rPr>
        <w:t>作出</w:t>
      </w:r>
      <w:proofErr w:type="gramEnd"/>
      <w:r w:rsidRPr="00F8692A">
        <w:rPr>
          <w:rFonts w:ascii="仿宋_GB2312" w:eastAsia="仿宋_GB2312" w:hint="eastAsia"/>
          <w:sz w:val="28"/>
          <w:szCs w:val="28"/>
        </w:rPr>
        <w:t>重要部署，提出“推进消费税征收环节后移并稳步下划地方”的改革方向。为使消费税改革更好适应经济发展和社会需求，缓解地方财政困难，需要以问题和需求为导向深入开展分析，研究提出既有利于优化完善消费税税制，引导地方改善消费环境，又有利于完成“征收环节后移并稳步下划地方”改革任务，化解地方财政收支矛盾问题的具体政策建议。</w:t>
      </w:r>
    </w:p>
    <w:p w14:paraId="59DDEB40"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4C4CD8">
        <w:rPr>
          <w:rFonts w:ascii="仿宋_GB2312" w:eastAsia="仿宋_GB2312" w:hint="eastAsia"/>
          <w:b/>
          <w:bCs/>
          <w:sz w:val="28"/>
          <w:szCs w:val="28"/>
        </w:rPr>
        <w:t> </w:t>
      </w:r>
      <w:r w:rsidRPr="004C4CD8">
        <w:rPr>
          <w:rFonts w:ascii="仿宋_GB2312" w:eastAsia="仿宋_GB2312" w:hint="eastAsia"/>
          <w:b/>
          <w:bCs/>
          <w:sz w:val="28"/>
          <w:szCs w:val="28"/>
        </w:rPr>
        <w:t>本课题重点研究但不限于以下方面</w:t>
      </w:r>
      <w:r w:rsidRPr="00F8692A">
        <w:rPr>
          <w:rFonts w:ascii="仿宋_GB2312" w:eastAsia="仿宋_GB2312" w:hint="eastAsia"/>
          <w:sz w:val="28"/>
          <w:szCs w:val="28"/>
        </w:rPr>
        <w:t>：</w:t>
      </w:r>
    </w:p>
    <w:p w14:paraId="3196DEA0"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1.梳理消费税税制要素、征收管理以及收入体制等方面现状，分析存在的问题。</w:t>
      </w:r>
    </w:p>
    <w:p w14:paraId="03E77AF1"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2.开展国际税制比较，研究国际消费税制度及现状，总结提炼可</w:t>
      </w:r>
      <w:r w:rsidRPr="00F8692A">
        <w:rPr>
          <w:rFonts w:ascii="仿宋_GB2312" w:eastAsia="仿宋_GB2312" w:hint="eastAsia"/>
          <w:sz w:val="28"/>
          <w:szCs w:val="28"/>
        </w:rPr>
        <w:lastRenderedPageBreak/>
        <w:t>借鉴的经验做法。</w:t>
      </w:r>
    </w:p>
    <w:p w14:paraId="626428B8" w14:textId="77777777" w:rsidR="008E19FE" w:rsidRPr="00F8692A" w:rsidRDefault="008E19FE" w:rsidP="00F8692A">
      <w:pPr>
        <w:spacing w:line="360" w:lineRule="auto"/>
        <w:rPr>
          <w:rFonts w:ascii="仿宋_GB2312" w:eastAsia="仿宋_GB2312" w:hint="eastAsia"/>
          <w:sz w:val="28"/>
          <w:szCs w:val="28"/>
        </w:rPr>
      </w:pPr>
      <w:r w:rsidRPr="00F8692A">
        <w:rPr>
          <w:rFonts w:ascii="仿宋_GB2312" w:eastAsia="仿宋_GB2312" w:hint="eastAsia"/>
          <w:sz w:val="28"/>
          <w:szCs w:val="28"/>
        </w:rPr>
        <w:t> </w:t>
      </w:r>
      <w:r w:rsidRPr="00F8692A">
        <w:rPr>
          <w:rFonts w:ascii="仿宋_GB2312" w:eastAsia="仿宋_GB2312" w:hint="eastAsia"/>
          <w:sz w:val="28"/>
          <w:szCs w:val="28"/>
        </w:rPr>
        <w:t> </w:t>
      </w:r>
      <w:r w:rsidRPr="00F8692A">
        <w:rPr>
          <w:rFonts w:ascii="仿宋_GB2312" w:eastAsia="仿宋_GB2312" w:hint="eastAsia"/>
          <w:sz w:val="28"/>
          <w:szCs w:val="28"/>
        </w:rPr>
        <w:t>3.根据国家有关消费税改革的总体思路和推进安排，研究分析消费税改革可能对上海带来的机遇与挑战。结合上海经济和财政改革发展需要，提出消费税改革的具体建议，包括但不限于：扩大消费税的征收范围、调整部分税目和税率、推进消费税征收环节后移（结合具体税目）、确定收入划分原则等。</w:t>
      </w:r>
    </w:p>
    <w:p w14:paraId="32BF6FCF" w14:textId="77777777" w:rsidR="00AF7F19" w:rsidRPr="00F8692A" w:rsidRDefault="00AF7F19" w:rsidP="00F8692A">
      <w:pPr>
        <w:spacing w:line="360" w:lineRule="auto"/>
        <w:rPr>
          <w:rFonts w:ascii="仿宋_GB2312" w:eastAsia="仿宋_GB2312" w:hint="eastAsia"/>
          <w:sz w:val="28"/>
          <w:szCs w:val="28"/>
        </w:rPr>
      </w:pPr>
    </w:p>
    <w:sectPr w:rsidR="00AF7F19" w:rsidRPr="00F8692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E92E" w14:textId="77777777" w:rsidR="00B365D6" w:rsidRDefault="00B365D6" w:rsidP="00F8692A">
      <w:pPr>
        <w:rPr>
          <w:rFonts w:hint="eastAsia"/>
        </w:rPr>
      </w:pPr>
      <w:r>
        <w:separator/>
      </w:r>
    </w:p>
  </w:endnote>
  <w:endnote w:type="continuationSeparator" w:id="0">
    <w:p w14:paraId="2293C075" w14:textId="77777777" w:rsidR="00B365D6" w:rsidRDefault="00B365D6" w:rsidP="00F869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771163"/>
      <w:docPartObj>
        <w:docPartGallery w:val="Page Numbers (Bottom of Page)"/>
        <w:docPartUnique/>
      </w:docPartObj>
    </w:sdtPr>
    <w:sdtContent>
      <w:p w14:paraId="0C47F248" w14:textId="4264E0DD" w:rsidR="004C4CD8" w:rsidRDefault="004C4CD8">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70EC910D" w14:textId="77777777" w:rsidR="004C4CD8" w:rsidRDefault="004C4CD8">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4696" w14:textId="77777777" w:rsidR="00B365D6" w:rsidRDefault="00B365D6" w:rsidP="00F8692A">
      <w:pPr>
        <w:rPr>
          <w:rFonts w:hint="eastAsia"/>
        </w:rPr>
      </w:pPr>
      <w:r>
        <w:separator/>
      </w:r>
    </w:p>
  </w:footnote>
  <w:footnote w:type="continuationSeparator" w:id="0">
    <w:p w14:paraId="49E9862C" w14:textId="77777777" w:rsidR="00B365D6" w:rsidRDefault="00B365D6" w:rsidP="00F8692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C3"/>
    <w:rsid w:val="00307AC3"/>
    <w:rsid w:val="004C4CD8"/>
    <w:rsid w:val="008A6A56"/>
    <w:rsid w:val="008E19FE"/>
    <w:rsid w:val="009C388B"/>
    <w:rsid w:val="009F3D35"/>
    <w:rsid w:val="00AF7F19"/>
    <w:rsid w:val="00B365D6"/>
    <w:rsid w:val="00F8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0B3FA"/>
  <w15:chartTrackingRefBased/>
  <w15:docId w15:val="{F243373E-CA21-4279-B98E-9303722F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7A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07A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07A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07AC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07AC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07AC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07A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A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07A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AC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07AC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07AC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07AC3"/>
    <w:rPr>
      <w:rFonts w:cstheme="majorBidi"/>
      <w:color w:val="0F4761" w:themeColor="accent1" w:themeShade="BF"/>
      <w:sz w:val="28"/>
      <w:szCs w:val="28"/>
    </w:rPr>
  </w:style>
  <w:style w:type="character" w:customStyle="1" w:styleId="50">
    <w:name w:val="标题 5 字符"/>
    <w:basedOn w:val="a0"/>
    <w:link w:val="5"/>
    <w:uiPriority w:val="9"/>
    <w:semiHidden/>
    <w:rsid w:val="00307AC3"/>
    <w:rPr>
      <w:rFonts w:cstheme="majorBidi"/>
      <w:color w:val="0F4761" w:themeColor="accent1" w:themeShade="BF"/>
      <w:sz w:val="24"/>
      <w:szCs w:val="24"/>
    </w:rPr>
  </w:style>
  <w:style w:type="character" w:customStyle="1" w:styleId="60">
    <w:name w:val="标题 6 字符"/>
    <w:basedOn w:val="a0"/>
    <w:link w:val="6"/>
    <w:uiPriority w:val="9"/>
    <w:semiHidden/>
    <w:rsid w:val="00307AC3"/>
    <w:rPr>
      <w:rFonts w:cstheme="majorBidi"/>
      <w:b/>
      <w:bCs/>
      <w:color w:val="0F4761" w:themeColor="accent1" w:themeShade="BF"/>
    </w:rPr>
  </w:style>
  <w:style w:type="character" w:customStyle="1" w:styleId="70">
    <w:name w:val="标题 7 字符"/>
    <w:basedOn w:val="a0"/>
    <w:link w:val="7"/>
    <w:uiPriority w:val="9"/>
    <w:semiHidden/>
    <w:rsid w:val="00307AC3"/>
    <w:rPr>
      <w:rFonts w:cstheme="majorBidi"/>
      <w:b/>
      <w:bCs/>
      <w:color w:val="595959" w:themeColor="text1" w:themeTint="A6"/>
    </w:rPr>
  </w:style>
  <w:style w:type="character" w:customStyle="1" w:styleId="80">
    <w:name w:val="标题 8 字符"/>
    <w:basedOn w:val="a0"/>
    <w:link w:val="8"/>
    <w:uiPriority w:val="9"/>
    <w:semiHidden/>
    <w:rsid w:val="00307AC3"/>
    <w:rPr>
      <w:rFonts w:cstheme="majorBidi"/>
      <w:color w:val="595959" w:themeColor="text1" w:themeTint="A6"/>
    </w:rPr>
  </w:style>
  <w:style w:type="character" w:customStyle="1" w:styleId="90">
    <w:name w:val="标题 9 字符"/>
    <w:basedOn w:val="a0"/>
    <w:link w:val="9"/>
    <w:uiPriority w:val="9"/>
    <w:semiHidden/>
    <w:rsid w:val="00307AC3"/>
    <w:rPr>
      <w:rFonts w:eastAsiaTheme="majorEastAsia" w:cstheme="majorBidi"/>
      <w:color w:val="595959" w:themeColor="text1" w:themeTint="A6"/>
    </w:rPr>
  </w:style>
  <w:style w:type="paragraph" w:styleId="a3">
    <w:name w:val="Title"/>
    <w:basedOn w:val="a"/>
    <w:next w:val="a"/>
    <w:link w:val="a4"/>
    <w:uiPriority w:val="10"/>
    <w:qFormat/>
    <w:rsid w:val="00307A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A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A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AC3"/>
    <w:pPr>
      <w:spacing w:before="160" w:after="160"/>
      <w:jc w:val="center"/>
    </w:pPr>
    <w:rPr>
      <w:i/>
      <w:iCs/>
      <w:color w:val="404040" w:themeColor="text1" w:themeTint="BF"/>
    </w:rPr>
  </w:style>
  <w:style w:type="character" w:customStyle="1" w:styleId="a8">
    <w:name w:val="引用 字符"/>
    <w:basedOn w:val="a0"/>
    <w:link w:val="a7"/>
    <w:uiPriority w:val="29"/>
    <w:rsid w:val="00307AC3"/>
    <w:rPr>
      <w:i/>
      <w:iCs/>
      <w:color w:val="404040" w:themeColor="text1" w:themeTint="BF"/>
    </w:rPr>
  </w:style>
  <w:style w:type="paragraph" w:styleId="a9">
    <w:name w:val="List Paragraph"/>
    <w:basedOn w:val="a"/>
    <w:uiPriority w:val="34"/>
    <w:qFormat/>
    <w:rsid w:val="00307AC3"/>
    <w:pPr>
      <w:ind w:left="720"/>
      <w:contextualSpacing/>
    </w:pPr>
  </w:style>
  <w:style w:type="character" w:styleId="aa">
    <w:name w:val="Intense Emphasis"/>
    <w:basedOn w:val="a0"/>
    <w:uiPriority w:val="21"/>
    <w:qFormat/>
    <w:rsid w:val="00307AC3"/>
    <w:rPr>
      <w:i/>
      <w:iCs/>
      <w:color w:val="0F4761" w:themeColor="accent1" w:themeShade="BF"/>
    </w:rPr>
  </w:style>
  <w:style w:type="paragraph" w:styleId="ab">
    <w:name w:val="Intense Quote"/>
    <w:basedOn w:val="a"/>
    <w:next w:val="a"/>
    <w:link w:val="ac"/>
    <w:uiPriority w:val="30"/>
    <w:qFormat/>
    <w:rsid w:val="00307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07AC3"/>
    <w:rPr>
      <w:i/>
      <w:iCs/>
      <w:color w:val="0F4761" w:themeColor="accent1" w:themeShade="BF"/>
    </w:rPr>
  </w:style>
  <w:style w:type="character" w:styleId="ad">
    <w:name w:val="Intense Reference"/>
    <w:basedOn w:val="a0"/>
    <w:uiPriority w:val="32"/>
    <w:qFormat/>
    <w:rsid w:val="00307AC3"/>
    <w:rPr>
      <w:b/>
      <w:bCs/>
      <w:smallCaps/>
      <w:color w:val="0F4761" w:themeColor="accent1" w:themeShade="BF"/>
      <w:spacing w:val="5"/>
    </w:rPr>
  </w:style>
  <w:style w:type="paragraph" w:styleId="ae">
    <w:name w:val="header"/>
    <w:basedOn w:val="a"/>
    <w:link w:val="af"/>
    <w:uiPriority w:val="99"/>
    <w:unhideWhenUsed/>
    <w:rsid w:val="00F8692A"/>
    <w:pPr>
      <w:tabs>
        <w:tab w:val="center" w:pos="4153"/>
        <w:tab w:val="right" w:pos="8306"/>
      </w:tabs>
      <w:snapToGrid w:val="0"/>
      <w:jc w:val="center"/>
    </w:pPr>
    <w:rPr>
      <w:sz w:val="18"/>
      <w:szCs w:val="18"/>
    </w:rPr>
  </w:style>
  <w:style w:type="character" w:customStyle="1" w:styleId="af">
    <w:name w:val="页眉 字符"/>
    <w:basedOn w:val="a0"/>
    <w:link w:val="ae"/>
    <w:uiPriority w:val="99"/>
    <w:rsid w:val="00F8692A"/>
    <w:rPr>
      <w:sz w:val="18"/>
      <w:szCs w:val="18"/>
    </w:rPr>
  </w:style>
  <w:style w:type="paragraph" w:styleId="af0">
    <w:name w:val="footer"/>
    <w:basedOn w:val="a"/>
    <w:link w:val="af1"/>
    <w:uiPriority w:val="99"/>
    <w:unhideWhenUsed/>
    <w:rsid w:val="00F8692A"/>
    <w:pPr>
      <w:tabs>
        <w:tab w:val="center" w:pos="4153"/>
        <w:tab w:val="right" w:pos="8306"/>
      </w:tabs>
      <w:snapToGrid w:val="0"/>
      <w:jc w:val="left"/>
    </w:pPr>
    <w:rPr>
      <w:sz w:val="18"/>
      <w:szCs w:val="18"/>
    </w:rPr>
  </w:style>
  <w:style w:type="character" w:customStyle="1" w:styleId="af1">
    <w:name w:val="页脚 字符"/>
    <w:basedOn w:val="a0"/>
    <w:link w:val="af0"/>
    <w:uiPriority w:val="99"/>
    <w:rsid w:val="00F869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69184">
      <w:bodyDiv w:val="1"/>
      <w:marLeft w:val="0"/>
      <w:marRight w:val="0"/>
      <w:marTop w:val="0"/>
      <w:marBottom w:val="0"/>
      <w:divBdr>
        <w:top w:val="none" w:sz="0" w:space="0" w:color="auto"/>
        <w:left w:val="none" w:sz="0" w:space="0" w:color="auto"/>
        <w:bottom w:val="none" w:sz="0" w:space="0" w:color="auto"/>
        <w:right w:val="none" w:sz="0" w:space="0" w:color="auto"/>
      </w:divBdr>
      <w:divsChild>
        <w:div w:id="917904169">
          <w:marLeft w:val="0"/>
          <w:marRight w:val="0"/>
          <w:marTop w:val="150"/>
          <w:marBottom w:val="150"/>
          <w:divBdr>
            <w:top w:val="none" w:sz="0" w:space="0" w:color="auto"/>
            <w:left w:val="none" w:sz="0" w:space="0" w:color="auto"/>
            <w:bottom w:val="none" w:sz="0" w:space="0" w:color="auto"/>
            <w:right w:val="none" w:sz="0" w:space="0" w:color="auto"/>
          </w:divBdr>
        </w:div>
        <w:div w:id="2064937324">
          <w:marLeft w:val="0"/>
          <w:marRight w:val="0"/>
          <w:marTop w:val="75"/>
          <w:marBottom w:val="75"/>
          <w:divBdr>
            <w:top w:val="none" w:sz="0" w:space="0" w:color="auto"/>
            <w:left w:val="none" w:sz="0" w:space="0" w:color="auto"/>
            <w:bottom w:val="none" w:sz="0" w:space="0" w:color="auto"/>
            <w:right w:val="none" w:sz="0" w:space="0" w:color="auto"/>
          </w:divBdr>
          <w:divsChild>
            <w:div w:id="146828204">
              <w:marLeft w:val="105"/>
              <w:marRight w:val="105"/>
              <w:marTop w:val="0"/>
              <w:marBottom w:val="0"/>
              <w:divBdr>
                <w:top w:val="none" w:sz="0" w:space="0" w:color="auto"/>
                <w:left w:val="none" w:sz="0" w:space="0" w:color="auto"/>
                <w:bottom w:val="none" w:sz="0" w:space="0" w:color="auto"/>
                <w:right w:val="none" w:sz="0" w:space="0" w:color="auto"/>
              </w:divBdr>
            </w:div>
            <w:div w:id="1467234720">
              <w:marLeft w:val="105"/>
              <w:marRight w:val="105"/>
              <w:marTop w:val="0"/>
              <w:marBottom w:val="0"/>
              <w:divBdr>
                <w:top w:val="none" w:sz="0" w:space="0" w:color="auto"/>
                <w:left w:val="none" w:sz="0" w:space="0" w:color="auto"/>
                <w:bottom w:val="none" w:sz="0" w:space="0" w:color="auto"/>
                <w:right w:val="none" w:sz="0" w:space="0" w:color="auto"/>
              </w:divBdr>
            </w:div>
            <w:div w:id="967198191">
              <w:marLeft w:val="105"/>
              <w:marRight w:val="105"/>
              <w:marTop w:val="0"/>
              <w:marBottom w:val="0"/>
              <w:divBdr>
                <w:top w:val="none" w:sz="0" w:space="0" w:color="auto"/>
                <w:left w:val="none" w:sz="0" w:space="0" w:color="auto"/>
                <w:bottom w:val="none" w:sz="0" w:space="0" w:color="auto"/>
                <w:right w:val="none" w:sz="0" w:space="0" w:color="auto"/>
              </w:divBdr>
            </w:div>
          </w:divsChild>
        </w:div>
        <w:div w:id="1555311026">
          <w:marLeft w:val="0"/>
          <w:marRight w:val="0"/>
          <w:marTop w:val="150"/>
          <w:marBottom w:val="150"/>
          <w:divBdr>
            <w:top w:val="none" w:sz="0" w:space="0" w:color="auto"/>
            <w:left w:val="none" w:sz="0" w:space="0" w:color="auto"/>
            <w:bottom w:val="none" w:sz="0" w:space="0" w:color="auto"/>
            <w:right w:val="none" w:sz="0" w:space="0" w:color="auto"/>
          </w:divBdr>
        </w:div>
      </w:divsChild>
    </w:div>
    <w:div w:id="1639995873">
      <w:bodyDiv w:val="1"/>
      <w:marLeft w:val="0"/>
      <w:marRight w:val="0"/>
      <w:marTop w:val="0"/>
      <w:marBottom w:val="0"/>
      <w:divBdr>
        <w:top w:val="none" w:sz="0" w:space="0" w:color="auto"/>
        <w:left w:val="none" w:sz="0" w:space="0" w:color="auto"/>
        <w:bottom w:val="none" w:sz="0" w:space="0" w:color="auto"/>
        <w:right w:val="none" w:sz="0" w:space="0" w:color="auto"/>
      </w:divBdr>
      <w:divsChild>
        <w:div w:id="1630549121">
          <w:marLeft w:val="0"/>
          <w:marRight w:val="0"/>
          <w:marTop w:val="150"/>
          <w:marBottom w:val="150"/>
          <w:divBdr>
            <w:top w:val="none" w:sz="0" w:space="0" w:color="auto"/>
            <w:left w:val="none" w:sz="0" w:space="0" w:color="auto"/>
            <w:bottom w:val="none" w:sz="0" w:space="0" w:color="auto"/>
            <w:right w:val="none" w:sz="0" w:space="0" w:color="auto"/>
          </w:divBdr>
        </w:div>
        <w:div w:id="1296254330">
          <w:marLeft w:val="0"/>
          <w:marRight w:val="0"/>
          <w:marTop w:val="75"/>
          <w:marBottom w:val="75"/>
          <w:divBdr>
            <w:top w:val="none" w:sz="0" w:space="0" w:color="auto"/>
            <w:left w:val="none" w:sz="0" w:space="0" w:color="auto"/>
            <w:bottom w:val="none" w:sz="0" w:space="0" w:color="auto"/>
            <w:right w:val="none" w:sz="0" w:space="0" w:color="auto"/>
          </w:divBdr>
          <w:divsChild>
            <w:div w:id="1428233948">
              <w:marLeft w:val="105"/>
              <w:marRight w:val="105"/>
              <w:marTop w:val="0"/>
              <w:marBottom w:val="0"/>
              <w:divBdr>
                <w:top w:val="none" w:sz="0" w:space="0" w:color="auto"/>
                <w:left w:val="none" w:sz="0" w:space="0" w:color="auto"/>
                <w:bottom w:val="none" w:sz="0" w:space="0" w:color="auto"/>
                <w:right w:val="none" w:sz="0" w:space="0" w:color="auto"/>
              </w:divBdr>
            </w:div>
            <w:div w:id="2114393282">
              <w:marLeft w:val="105"/>
              <w:marRight w:val="105"/>
              <w:marTop w:val="0"/>
              <w:marBottom w:val="0"/>
              <w:divBdr>
                <w:top w:val="none" w:sz="0" w:space="0" w:color="auto"/>
                <w:left w:val="none" w:sz="0" w:space="0" w:color="auto"/>
                <w:bottom w:val="none" w:sz="0" w:space="0" w:color="auto"/>
                <w:right w:val="none" w:sz="0" w:space="0" w:color="auto"/>
              </w:divBdr>
            </w:div>
            <w:div w:id="1687709148">
              <w:marLeft w:val="105"/>
              <w:marRight w:val="105"/>
              <w:marTop w:val="0"/>
              <w:marBottom w:val="0"/>
              <w:divBdr>
                <w:top w:val="none" w:sz="0" w:space="0" w:color="auto"/>
                <w:left w:val="none" w:sz="0" w:space="0" w:color="auto"/>
                <w:bottom w:val="none" w:sz="0" w:space="0" w:color="auto"/>
                <w:right w:val="none" w:sz="0" w:space="0" w:color="auto"/>
              </w:divBdr>
            </w:div>
          </w:divsChild>
        </w:div>
        <w:div w:id="207299686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dc:creator>
  <cp:keywords/>
  <dc:description/>
  <cp:lastModifiedBy>l c</cp:lastModifiedBy>
  <cp:revision>4</cp:revision>
  <dcterms:created xsi:type="dcterms:W3CDTF">2025-04-29T13:37:00Z</dcterms:created>
  <dcterms:modified xsi:type="dcterms:W3CDTF">2025-04-29T14:24:00Z</dcterms:modified>
</cp:coreProperties>
</file>