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01AA60">
      <w:pPr>
        <w:jc w:val="center"/>
        <w:rPr>
          <w:b/>
          <w:color w:val="000000" w:themeColor="text1"/>
          <w:sz w:val="32"/>
        </w:rPr>
      </w:pPr>
      <w:r>
        <w:rPr>
          <w:rFonts w:hint="eastAsia"/>
          <w:b/>
          <w:color w:val="000000" w:themeColor="text1"/>
          <w:sz w:val="32"/>
        </w:rPr>
        <w:t>上海对外经贸大学</w:t>
      </w:r>
      <w:r>
        <w:rPr>
          <w:rFonts w:hint="eastAsia"/>
          <w:b/>
          <w:color w:val="000000" w:themeColor="text1"/>
          <w:sz w:val="32"/>
          <w:lang w:val="en-US" w:eastAsia="zh-CN"/>
        </w:rPr>
        <w:t>能源审计服务</w:t>
      </w:r>
      <w:r>
        <w:rPr>
          <w:rFonts w:hint="eastAsia"/>
          <w:b/>
          <w:color w:val="000000" w:themeColor="text1"/>
          <w:sz w:val="32"/>
        </w:rPr>
        <w:t>采购项目采购需求</w:t>
      </w:r>
    </w:p>
    <w:p w14:paraId="531C6F31">
      <w:pPr>
        <w:rPr>
          <w:color w:val="000000" w:themeColor="text1"/>
        </w:rPr>
      </w:pPr>
    </w:p>
    <w:p w14:paraId="2A7F99ED">
      <w:pPr>
        <w:spacing w:line="360" w:lineRule="auto"/>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项目名称：上海对外经贸大学</w:t>
      </w:r>
      <w:r>
        <w:rPr>
          <w:rFonts w:hint="eastAsia" w:ascii="宋体" w:hAnsi="宋体" w:eastAsia="宋体" w:cs="宋体"/>
          <w:color w:val="000000" w:themeColor="text1"/>
          <w:sz w:val="28"/>
          <w:szCs w:val="28"/>
          <w:lang w:val="en-US" w:eastAsia="zh-CN"/>
        </w:rPr>
        <w:t>能源审计服务</w:t>
      </w:r>
      <w:r>
        <w:rPr>
          <w:rFonts w:hint="eastAsia" w:ascii="宋体" w:hAnsi="宋体" w:eastAsia="宋体" w:cs="宋体"/>
          <w:color w:val="000000" w:themeColor="text1"/>
          <w:sz w:val="28"/>
          <w:szCs w:val="28"/>
        </w:rPr>
        <w:t>采购项目</w:t>
      </w:r>
    </w:p>
    <w:p w14:paraId="19D6CA53">
      <w:pPr>
        <w:spacing w:line="360" w:lineRule="auto"/>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预算金额：</w:t>
      </w:r>
      <w:r>
        <w:rPr>
          <w:rFonts w:hint="eastAsia" w:ascii="宋体" w:hAnsi="宋体" w:eastAsia="宋体" w:cs="宋体"/>
          <w:color w:val="000000" w:themeColor="text1"/>
          <w:sz w:val="28"/>
          <w:szCs w:val="28"/>
          <w:lang w:val="en-US" w:eastAsia="zh-CN"/>
        </w:rPr>
        <w:t>16</w:t>
      </w:r>
      <w:r>
        <w:rPr>
          <w:rFonts w:hint="eastAsia" w:ascii="宋体" w:hAnsi="宋体" w:eastAsia="宋体" w:cs="宋体"/>
          <w:color w:val="000000" w:themeColor="text1"/>
          <w:sz w:val="28"/>
          <w:szCs w:val="28"/>
        </w:rPr>
        <w:t>万元</w:t>
      </w:r>
    </w:p>
    <w:p w14:paraId="5D7B99E1">
      <w:pPr>
        <w:spacing w:line="360" w:lineRule="auto"/>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采购方式：公开比价</w:t>
      </w:r>
    </w:p>
    <w:p w14:paraId="2D75F544">
      <w:pPr>
        <w:spacing w:line="360" w:lineRule="auto"/>
        <w:rPr>
          <w:rFonts w:hint="default" w:ascii="宋体" w:hAnsi="宋体" w:eastAsia="宋体" w:cs="宋体"/>
          <w:color w:val="000000" w:themeColor="text1"/>
          <w:sz w:val="28"/>
          <w:szCs w:val="28"/>
          <w:lang w:val="en-US" w:eastAsia="zh-CN"/>
        </w:rPr>
      </w:pPr>
      <w:r>
        <w:rPr>
          <w:rFonts w:hint="eastAsia" w:ascii="宋体" w:hAnsi="宋体" w:eastAsia="宋体" w:cs="宋体"/>
          <w:color w:val="000000" w:themeColor="text1"/>
          <w:sz w:val="28"/>
          <w:szCs w:val="28"/>
        </w:rPr>
        <w:t>采购内容：</w:t>
      </w:r>
      <w:r>
        <w:rPr>
          <w:rFonts w:hint="eastAsia" w:ascii="宋体" w:hAnsi="宋体" w:eastAsia="宋体" w:cs="宋体"/>
          <w:color w:val="000000" w:themeColor="text1"/>
          <w:sz w:val="28"/>
          <w:szCs w:val="28"/>
          <w:lang w:val="en-US" w:eastAsia="zh-CN"/>
        </w:rPr>
        <w:t>上海对外经贸大学能源审计服务采购，含松江校区、松江学生社区、长宁校区所有楼宇的能源审计服务。</w:t>
      </w:r>
    </w:p>
    <w:p w14:paraId="0BDA12D3">
      <w:pPr>
        <w:spacing w:line="360" w:lineRule="auto"/>
        <w:ind w:firstLine="560" w:firstLineChars="200"/>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一、合理的投标人资格条件</w:t>
      </w:r>
    </w:p>
    <w:p w14:paraId="22E012B4">
      <w:pPr>
        <w:widowControl/>
        <w:ind w:firstLine="560" w:firstLineChars="200"/>
        <w:jc w:val="left"/>
        <w:rPr>
          <w:rFonts w:hint="eastAsia" w:ascii="宋体" w:hAnsi="宋体" w:eastAsia="宋体" w:cs="宋体"/>
          <w:color w:val="000000" w:themeColor="text1"/>
          <w:sz w:val="28"/>
          <w:szCs w:val="28"/>
        </w:rPr>
      </w:pPr>
      <w:r>
        <w:rPr>
          <w:rFonts w:hint="eastAsia" w:ascii="宋体" w:hAnsi="宋体" w:eastAsia="宋体" w:cs="宋体"/>
          <w:color w:val="000000" w:themeColor="text1"/>
          <w:kern w:val="0"/>
          <w:sz w:val="28"/>
          <w:szCs w:val="28"/>
          <w:lang w:bidi="ar"/>
        </w:rPr>
        <w:t>1、供应商须符合《中华人民共和国政府采购法》第二十二条的规定条件；</w:t>
      </w:r>
    </w:p>
    <w:p w14:paraId="30FE11E5">
      <w:pPr>
        <w:widowControl/>
        <w:ind w:firstLine="560" w:firstLineChars="200"/>
        <w:jc w:val="left"/>
        <w:rPr>
          <w:rFonts w:hint="eastAsia" w:ascii="宋体" w:hAnsi="宋体" w:eastAsia="宋体" w:cs="宋体"/>
          <w:color w:val="000000" w:themeColor="text1"/>
          <w:sz w:val="28"/>
          <w:szCs w:val="28"/>
          <w:lang w:eastAsia="zh-CN"/>
        </w:rPr>
      </w:pPr>
      <w:r>
        <w:rPr>
          <w:rFonts w:hint="eastAsia" w:ascii="宋体" w:hAnsi="宋体" w:eastAsia="宋体" w:cs="宋体"/>
          <w:color w:val="000000" w:themeColor="text1"/>
          <w:kern w:val="0"/>
          <w:sz w:val="28"/>
          <w:szCs w:val="28"/>
          <w:lang w:bidi="ar"/>
        </w:rPr>
        <w:t>2、投标人必须是在中国境内注册、具备有效的企业法人营业执照</w:t>
      </w:r>
      <w:r>
        <w:rPr>
          <w:rFonts w:hint="eastAsia" w:ascii="宋体" w:hAnsi="宋体" w:eastAsia="宋体" w:cs="宋体"/>
          <w:color w:val="000000" w:themeColor="text1"/>
          <w:kern w:val="0"/>
          <w:sz w:val="28"/>
          <w:szCs w:val="28"/>
          <w:lang w:eastAsia="zh-CN" w:bidi="ar"/>
        </w:rPr>
        <w:t>，</w:t>
      </w:r>
      <w:r>
        <w:rPr>
          <w:rFonts w:hint="eastAsia" w:ascii="宋体" w:hAnsi="宋体" w:eastAsia="宋体" w:cs="宋体"/>
          <w:color w:val="000000" w:themeColor="text1"/>
          <w:kern w:val="0"/>
          <w:sz w:val="28"/>
          <w:szCs w:val="28"/>
          <w:lang w:val="en-US" w:eastAsia="zh-CN" w:bidi="ar"/>
        </w:rPr>
        <w:t>企业经营范围需</w:t>
      </w:r>
      <w:bookmarkStart w:id="0" w:name="_GoBack"/>
      <w:bookmarkEnd w:id="0"/>
      <w:r>
        <w:rPr>
          <w:rFonts w:hint="eastAsia" w:ascii="宋体" w:hAnsi="宋体" w:eastAsia="宋体" w:cs="宋体"/>
          <w:color w:val="000000" w:themeColor="text1"/>
          <w:kern w:val="0"/>
          <w:sz w:val="28"/>
          <w:szCs w:val="28"/>
          <w:lang w:val="en-US" w:eastAsia="zh-CN" w:bidi="ar"/>
        </w:rPr>
        <w:t>包含</w:t>
      </w:r>
      <w:r>
        <w:rPr>
          <w:rFonts w:hint="eastAsia" w:ascii="宋体" w:hAnsi="宋体" w:eastAsia="宋体" w:cs="宋体"/>
          <w:color w:val="000000" w:themeColor="text1"/>
          <w:kern w:val="0"/>
          <w:sz w:val="28"/>
          <w:szCs w:val="28"/>
          <w:lang w:eastAsia="zh-CN" w:bidi="ar"/>
        </w:rPr>
        <w:t>建筑类相关、能源、节能、建筑节能、环保、合同能源管理等相关技术服务。</w:t>
      </w:r>
    </w:p>
    <w:p w14:paraId="64B9E20A">
      <w:pPr>
        <w:widowControl/>
        <w:ind w:firstLine="560" w:firstLineChars="200"/>
        <w:jc w:val="left"/>
        <w:rPr>
          <w:rFonts w:hint="eastAsia" w:ascii="宋体" w:hAnsi="宋体" w:eastAsia="宋体" w:cs="宋体"/>
          <w:color w:val="000000" w:themeColor="text1"/>
          <w:sz w:val="28"/>
          <w:szCs w:val="28"/>
        </w:rPr>
      </w:pPr>
      <w:r>
        <w:rPr>
          <w:rFonts w:hint="eastAsia" w:ascii="宋体" w:hAnsi="宋体" w:eastAsia="宋体" w:cs="宋体"/>
          <w:color w:val="000000" w:themeColor="text1"/>
          <w:kern w:val="0"/>
          <w:sz w:val="28"/>
          <w:szCs w:val="28"/>
          <w:lang w:bidi="ar"/>
        </w:rPr>
        <w:t>3、本次采购不接受联合体报价。</w:t>
      </w:r>
    </w:p>
    <w:p w14:paraId="63270A8F">
      <w:pPr>
        <w:widowControl/>
        <w:ind w:firstLine="560" w:firstLineChars="200"/>
        <w:jc w:val="left"/>
        <w:rPr>
          <w:rFonts w:hint="default" w:ascii="宋体" w:hAnsi="宋体" w:eastAsia="宋体" w:cs="宋体"/>
          <w:color w:val="000000" w:themeColor="text1"/>
          <w:kern w:val="0"/>
          <w:sz w:val="28"/>
          <w:szCs w:val="28"/>
          <w:lang w:val="en-US" w:eastAsia="zh-CN" w:bidi="ar"/>
        </w:rPr>
      </w:pPr>
      <w:r>
        <w:rPr>
          <w:rFonts w:hint="eastAsia" w:ascii="宋体" w:hAnsi="宋体" w:eastAsia="宋体" w:cs="宋体"/>
          <w:color w:val="000000" w:themeColor="text1"/>
          <w:kern w:val="0"/>
          <w:sz w:val="28"/>
          <w:szCs w:val="28"/>
          <w:lang w:bidi="ar"/>
        </w:rPr>
        <w:t>二、项目</w:t>
      </w:r>
      <w:r>
        <w:rPr>
          <w:rFonts w:hint="eastAsia" w:ascii="宋体" w:hAnsi="宋体" w:eastAsia="宋体" w:cs="宋体"/>
          <w:color w:val="000000" w:themeColor="text1"/>
          <w:kern w:val="0"/>
          <w:sz w:val="28"/>
          <w:szCs w:val="28"/>
          <w:lang w:val="en-US" w:eastAsia="zh-CN" w:bidi="ar"/>
        </w:rPr>
        <w:t>采购</w:t>
      </w:r>
      <w:r>
        <w:rPr>
          <w:rFonts w:hint="eastAsia" w:ascii="宋体" w:hAnsi="宋体" w:eastAsia="宋体" w:cs="宋体"/>
          <w:color w:val="000000" w:themeColor="text1"/>
          <w:kern w:val="0"/>
          <w:sz w:val="28"/>
          <w:szCs w:val="28"/>
          <w:lang w:bidi="ar"/>
        </w:rPr>
        <w:t>目标</w:t>
      </w:r>
      <w:r>
        <w:rPr>
          <w:rFonts w:hint="eastAsia" w:ascii="宋体" w:hAnsi="宋体" w:eastAsia="宋体" w:cs="宋体"/>
          <w:color w:val="000000" w:themeColor="text1"/>
          <w:kern w:val="0"/>
          <w:sz w:val="28"/>
          <w:szCs w:val="28"/>
          <w:lang w:val="en-US" w:eastAsia="zh-CN" w:bidi="ar"/>
        </w:rPr>
        <w:t>及内容</w:t>
      </w:r>
    </w:p>
    <w:p w14:paraId="2759CB5A">
      <w:pPr>
        <w:widowControl/>
        <w:ind w:firstLine="560" w:firstLineChars="200"/>
        <w:jc w:val="left"/>
        <w:rPr>
          <w:rFonts w:hint="eastAsia" w:ascii="宋体" w:hAnsi="宋体" w:eastAsia="宋体" w:cs="宋体"/>
          <w:color w:val="000000" w:themeColor="text1"/>
          <w:kern w:val="0"/>
          <w:sz w:val="28"/>
          <w:szCs w:val="28"/>
          <w:lang w:eastAsia="zh-CN" w:bidi="ar"/>
        </w:rPr>
      </w:pPr>
      <w:r>
        <w:rPr>
          <w:rFonts w:hint="eastAsia" w:ascii="宋体" w:hAnsi="宋体" w:eastAsia="宋体" w:cs="宋体"/>
          <w:color w:val="000000" w:themeColor="text1"/>
          <w:kern w:val="0"/>
          <w:sz w:val="28"/>
          <w:szCs w:val="28"/>
          <w:lang w:eastAsia="zh-CN" w:bidi="ar"/>
        </w:rPr>
        <w:t>为深入贯彻落实《关于进一步推进本市建筑能源审计工作的通知》（沪建建材联〔2020〕352号）及《关于印发&lt;上海市公共机构能源审计实施细则&gt;的通知》（沪机管〔2021〕42号）等文件精神，切实推进学校能源审计工作，有效挖掘节能潜力，全面提升能效管理水平。</w:t>
      </w:r>
    </w:p>
    <w:p w14:paraId="0606B858">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bidi="ar"/>
        </w:rPr>
        <w:t>本次</w:t>
      </w:r>
      <w:r>
        <w:rPr>
          <w:rFonts w:hint="eastAsia" w:ascii="宋体" w:hAnsi="宋体" w:eastAsia="宋体" w:cs="宋体"/>
          <w:color w:val="000000" w:themeColor="text1"/>
          <w:kern w:val="0"/>
          <w:sz w:val="28"/>
          <w:szCs w:val="28"/>
          <w:lang w:val="en-US" w:eastAsia="zh-CN" w:bidi="ar"/>
        </w:rPr>
        <w:t>采购</w:t>
      </w:r>
      <w:r>
        <w:rPr>
          <w:rFonts w:hint="eastAsia" w:ascii="宋体" w:hAnsi="宋体" w:eastAsia="宋体" w:cs="宋体"/>
          <w:color w:val="000000" w:themeColor="text1"/>
          <w:kern w:val="0"/>
          <w:sz w:val="28"/>
          <w:szCs w:val="28"/>
          <w:lang w:bidi="ar"/>
        </w:rPr>
        <w:t>的能源审计</w:t>
      </w:r>
      <w:r>
        <w:rPr>
          <w:rFonts w:hint="eastAsia" w:ascii="宋体" w:hAnsi="宋体" w:eastAsia="宋体" w:cs="宋体"/>
          <w:color w:val="000000" w:themeColor="text1"/>
          <w:kern w:val="0"/>
          <w:sz w:val="28"/>
          <w:szCs w:val="28"/>
          <w:lang w:val="en-US" w:eastAsia="zh-CN" w:bidi="ar"/>
        </w:rPr>
        <w:t>服务</w:t>
      </w:r>
      <w:r>
        <w:rPr>
          <w:rFonts w:hint="eastAsia" w:ascii="宋体" w:hAnsi="宋体" w:eastAsia="宋体" w:cs="宋体"/>
          <w:color w:val="000000" w:themeColor="text1"/>
          <w:kern w:val="0"/>
          <w:sz w:val="28"/>
          <w:szCs w:val="28"/>
          <w:lang w:bidi="ar"/>
        </w:rPr>
        <w:t>项目，应按上海市工程建设规范《公共建筑能源审计标准》（DG/TJ08-2114-2020）中相关规定对全校范围及指定用能建筑进行能源审计，主要工作内容包括：</w:t>
      </w:r>
    </w:p>
    <w:p w14:paraId="73975796">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eastAsia="zh-CN" w:bidi="ar"/>
        </w:rPr>
        <w:t>（</w:t>
      </w:r>
      <w:r>
        <w:rPr>
          <w:rFonts w:hint="eastAsia" w:ascii="宋体" w:hAnsi="宋体" w:eastAsia="宋体" w:cs="宋体"/>
          <w:color w:val="000000" w:themeColor="text1"/>
          <w:kern w:val="0"/>
          <w:sz w:val="28"/>
          <w:szCs w:val="28"/>
          <w:lang w:val="en-US" w:eastAsia="zh-CN" w:bidi="ar"/>
        </w:rPr>
        <w:t>一）</w:t>
      </w:r>
      <w:r>
        <w:rPr>
          <w:rFonts w:hint="eastAsia" w:ascii="宋体" w:hAnsi="宋体" w:eastAsia="宋体" w:cs="宋体"/>
          <w:color w:val="000000" w:themeColor="text1"/>
          <w:kern w:val="0"/>
          <w:sz w:val="28"/>
          <w:szCs w:val="28"/>
          <w:lang w:bidi="ar"/>
        </w:rPr>
        <w:t>全校范围</w:t>
      </w:r>
    </w:p>
    <w:p w14:paraId="00D4DDA4">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1.</w:t>
      </w:r>
      <w:r>
        <w:rPr>
          <w:rFonts w:hint="eastAsia" w:ascii="宋体" w:hAnsi="宋体" w:eastAsia="宋体" w:cs="宋体"/>
          <w:color w:val="000000" w:themeColor="text1"/>
          <w:kern w:val="0"/>
          <w:sz w:val="28"/>
          <w:szCs w:val="28"/>
          <w:lang w:bidi="ar"/>
        </w:rPr>
        <w:t>学校能源管理现状：包括审阅并记录学校能源管理组织架构文件，管理制度文件、重大会议纪要或公告、相关部门职责分工等资料，总结分析学校能源管理架构与制度的开展情况。</w:t>
      </w:r>
    </w:p>
    <w:p w14:paraId="597CBF7C">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2.</w:t>
      </w:r>
      <w:r>
        <w:rPr>
          <w:rFonts w:hint="eastAsia" w:ascii="宋体" w:hAnsi="宋体" w:eastAsia="宋体" w:cs="宋体"/>
          <w:color w:val="000000" w:themeColor="text1"/>
          <w:kern w:val="0"/>
          <w:sz w:val="28"/>
          <w:szCs w:val="28"/>
          <w:lang w:bidi="ar"/>
        </w:rPr>
        <w:t>近年来节能工作成效：包括审阅并梳理学校近几年开展的相关节能改造项目、节能宣传教育培训活动、争创荣誉等开展情况并给出评价与建议。</w:t>
      </w:r>
    </w:p>
    <w:p w14:paraId="307955B6">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3.</w:t>
      </w:r>
      <w:r>
        <w:rPr>
          <w:rFonts w:hint="eastAsia" w:ascii="宋体" w:hAnsi="宋体" w:eastAsia="宋体" w:cs="宋体"/>
          <w:color w:val="000000" w:themeColor="text1"/>
          <w:kern w:val="0"/>
          <w:sz w:val="28"/>
          <w:szCs w:val="28"/>
          <w:lang w:bidi="ar"/>
        </w:rPr>
        <w:t>收集全校历年能源资源消耗数据，汇总计算得出全校能耗指标并对标上海市《高等学校建筑合理用能指南》，以及分析学校与本市高校能耗平均水平的比对情况。</w:t>
      </w:r>
    </w:p>
    <w:p w14:paraId="0D3D11FC">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4.</w:t>
      </w:r>
      <w:r>
        <w:rPr>
          <w:rFonts w:hint="eastAsia" w:ascii="宋体" w:hAnsi="宋体" w:eastAsia="宋体" w:cs="宋体"/>
          <w:color w:val="000000" w:themeColor="text1"/>
          <w:kern w:val="0"/>
          <w:sz w:val="28"/>
          <w:szCs w:val="28"/>
          <w:lang w:bidi="ar"/>
        </w:rPr>
        <w:t>根据学校的开学期间和放假期间分别进行能耗统计分析。</w:t>
      </w:r>
    </w:p>
    <w:p w14:paraId="7AEFD09B">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5.</w:t>
      </w:r>
      <w:r>
        <w:rPr>
          <w:rFonts w:hint="eastAsia" w:ascii="宋体" w:hAnsi="宋体" w:eastAsia="宋体" w:cs="宋体"/>
          <w:color w:val="000000" w:themeColor="text1"/>
          <w:kern w:val="0"/>
          <w:sz w:val="28"/>
          <w:szCs w:val="28"/>
          <w:lang w:bidi="ar"/>
        </w:rPr>
        <w:t>根据学校历年用能数据，计算分析学校“十四五”期间应对各级主管部门节能考核任务完成情况，并给出相关建议。</w:t>
      </w:r>
    </w:p>
    <w:p w14:paraId="679475AE">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6.</w:t>
      </w:r>
      <w:r>
        <w:rPr>
          <w:rFonts w:hint="eastAsia" w:ascii="宋体" w:hAnsi="宋体" w:eastAsia="宋体" w:cs="宋体"/>
          <w:color w:val="000000" w:themeColor="text1"/>
          <w:kern w:val="0"/>
          <w:sz w:val="28"/>
          <w:szCs w:val="28"/>
          <w:lang w:bidi="ar"/>
        </w:rPr>
        <w:t>根据收集到的信息分析预估学校在“十五五”期间的碳排放指标水平，并给出相关建议。</w:t>
      </w:r>
    </w:p>
    <w:p w14:paraId="15247037">
      <w:pPr>
        <w:widowControl/>
        <w:ind w:firstLine="560" w:firstLineChars="200"/>
        <w:jc w:val="left"/>
        <w:rPr>
          <w:rFonts w:hint="default" w:ascii="宋体" w:hAnsi="宋体" w:eastAsia="宋体" w:cs="宋体"/>
          <w:color w:val="000000" w:themeColor="text1"/>
          <w:kern w:val="0"/>
          <w:sz w:val="28"/>
          <w:szCs w:val="28"/>
          <w:lang w:val="en-US" w:eastAsia="zh-CN" w:bidi="ar"/>
        </w:rPr>
      </w:pPr>
      <w:r>
        <w:rPr>
          <w:rFonts w:hint="eastAsia" w:ascii="宋体" w:hAnsi="宋体" w:eastAsia="宋体" w:cs="宋体"/>
          <w:color w:val="000000" w:themeColor="text1"/>
          <w:kern w:val="0"/>
          <w:sz w:val="28"/>
          <w:szCs w:val="28"/>
          <w:lang w:eastAsia="zh-CN" w:bidi="ar"/>
        </w:rPr>
        <w:t>（</w:t>
      </w:r>
      <w:r>
        <w:rPr>
          <w:rFonts w:hint="eastAsia" w:ascii="宋体" w:hAnsi="宋体" w:eastAsia="宋体" w:cs="宋体"/>
          <w:color w:val="000000" w:themeColor="text1"/>
          <w:kern w:val="0"/>
          <w:sz w:val="28"/>
          <w:szCs w:val="28"/>
          <w:lang w:val="en-US" w:eastAsia="zh-CN" w:bidi="ar"/>
        </w:rPr>
        <w:t>二）</w:t>
      </w:r>
      <w:r>
        <w:rPr>
          <w:rFonts w:hint="eastAsia" w:ascii="宋体" w:hAnsi="宋体" w:eastAsia="宋体" w:cs="宋体"/>
          <w:color w:val="000000" w:themeColor="text1"/>
          <w:kern w:val="0"/>
          <w:sz w:val="28"/>
          <w:szCs w:val="28"/>
          <w:lang w:bidi="ar"/>
        </w:rPr>
        <w:t>指定用能建筑</w:t>
      </w:r>
      <w:r>
        <w:rPr>
          <w:rFonts w:hint="eastAsia" w:ascii="宋体" w:hAnsi="宋体" w:eastAsia="宋体" w:cs="宋体"/>
          <w:color w:val="000000" w:themeColor="text1"/>
          <w:kern w:val="0"/>
          <w:sz w:val="28"/>
          <w:szCs w:val="28"/>
          <w:lang w:eastAsia="zh-CN" w:bidi="ar"/>
        </w:rPr>
        <w:t>（</w:t>
      </w:r>
      <w:r>
        <w:rPr>
          <w:rFonts w:hint="eastAsia" w:ascii="宋体" w:hAnsi="宋体" w:eastAsia="宋体" w:cs="宋体"/>
          <w:color w:val="000000" w:themeColor="text1"/>
          <w:kern w:val="0"/>
          <w:sz w:val="28"/>
          <w:szCs w:val="28"/>
          <w:lang w:val="en-US" w:eastAsia="zh-CN" w:bidi="ar"/>
        </w:rPr>
        <w:t>建筑面积超1万平方米以上的单体建筑）</w:t>
      </w:r>
    </w:p>
    <w:p w14:paraId="4ADAC76F">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1.</w:t>
      </w:r>
      <w:r>
        <w:rPr>
          <w:rFonts w:hint="eastAsia" w:ascii="宋体" w:hAnsi="宋体" w:eastAsia="宋体" w:cs="宋体"/>
          <w:color w:val="000000" w:themeColor="text1"/>
          <w:kern w:val="0"/>
          <w:sz w:val="28"/>
          <w:szCs w:val="28"/>
          <w:lang w:bidi="ar"/>
        </w:rPr>
        <w:t>建筑基本概况检查：包括审阅并记录建筑面积、围护结构、不同功能区域面积及其运行时间等建筑基本信息。</w:t>
      </w:r>
    </w:p>
    <w:p w14:paraId="4621C165">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2.</w:t>
      </w:r>
      <w:r>
        <w:rPr>
          <w:rFonts w:hint="eastAsia" w:ascii="宋体" w:hAnsi="宋体" w:eastAsia="宋体" w:cs="宋体"/>
          <w:color w:val="000000" w:themeColor="text1"/>
          <w:kern w:val="0"/>
          <w:sz w:val="28"/>
          <w:szCs w:val="28"/>
          <w:lang w:bidi="ar"/>
        </w:rPr>
        <w:t>主要用能设备基本信息检查：包括审阅并检查建筑内主要用能设备的名称、型号、数量、出厂日期、额定参数等基本信息以及运行模式。</w:t>
      </w:r>
    </w:p>
    <w:p w14:paraId="180511E4">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3.</w:t>
      </w:r>
      <w:r>
        <w:rPr>
          <w:rFonts w:hint="eastAsia" w:ascii="宋体" w:hAnsi="宋体" w:eastAsia="宋体" w:cs="宋体"/>
          <w:color w:val="000000" w:themeColor="text1"/>
          <w:kern w:val="0"/>
          <w:sz w:val="28"/>
          <w:szCs w:val="28"/>
          <w:lang w:bidi="ar"/>
        </w:rPr>
        <w:t>建筑能耗数据信息检查：包括审阅并记录建筑全年能源账单数据、计量数据、运行记录、分析报告、建筑自动化系统存储的记录数据以及能源分摊协议等资料。</w:t>
      </w:r>
    </w:p>
    <w:p w14:paraId="158C1546">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4.</w:t>
      </w:r>
      <w:r>
        <w:rPr>
          <w:rFonts w:hint="eastAsia" w:ascii="宋体" w:hAnsi="宋体" w:eastAsia="宋体" w:cs="宋体"/>
          <w:color w:val="000000" w:themeColor="text1"/>
          <w:kern w:val="0"/>
          <w:sz w:val="28"/>
          <w:szCs w:val="28"/>
          <w:lang w:bidi="ar"/>
        </w:rPr>
        <w:t>当有分项能耗计量系统时，检查建筑能耗分项计量、监测管理系统现状，并对能耗监管和计量现状进行评价。</w:t>
      </w:r>
    </w:p>
    <w:p w14:paraId="64E90693">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5.</w:t>
      </w:r>
      <w:r>
        <w:rPr>
          <w:rFonts w:hint="eastAsia" w:ascii="宋体" w:hAnsi="宋体" w:eastAsia="宋体" w:cs="宋体"/>
          <w:color w:val="000000" w:themeColor="text1"/>
          <w:kern w:val="0"/>
          <w:sz w:val="28"/>
          <w:szCs w:val="28"/>
          <w:lang w:bidi="ar"/>
        </w:rPr>
        <w:t>分别对建筑内不同功能、有代表性的房间或区域至少三处，在正常使用情况下的建筑室内环境品质进行检测，检测内容包括室内温度、相对湿度、二氧化碳浓度、照度等；还应评判检测区域的室内环境品质是否符合国家、行业或本市现行标准中的相关规定。</w:t>
      </w:r>
    </w:p>
    <w:p w14:paraId="5AAE0F17">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6.</w:t>
      </w:r>
      <w:r>
        <w:rPr>
          <w:rFonts w:hint="eastAsia" w:ascii="宋体" w:hAnsi="宋体" w:eastAsia="宋体" w:cs="宋体"/>
          <w:color w:val="000000" w:themeColor="text1"/>
          <w:kern w:val="0"/>
          <w:sz w:val="28"/>
          <w:szCs w:val="28"/>
          <w:lang w:bidi="ar"/>
        </w:rPr>
        <w:t>对建筑能源管理状况进行检查，找出建筑能源管理系统存在的问题。</w:t>
      </w:r>
    </w:p>
    <w:p w14:paraId="6285CF74">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7.</w:t>
      </w:r>
      <w:r>
        <w:rPr>
          <w:rFonts w:hint="eastAsia" w:ascii="宋体" w:hAnsi="宋体" w:eastAsia="宋体" w:cs="宋体"/>
          <w:color w:val="000000" w:themeColor="text1"/>
          <w:kern w:val="0"/>
          <w:sz w:val="28"/>
          <w:szCs w:val="28"/>
          <w:lang w:bidi="ar"/>
        </w:rPr>
        <w:t>对建筑主要用能设备的运行状况进行检查，找出主要用能设备运行中存在的问题。</w:t>
      </w:r>
    </w:p>
    <w:p w14:paraId="1577FEC1">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val="en-US" w:eastAsia="zh-CN" w:bidi="ar"/>
        </w:rPr>
        <w:t>8.</w:t>
      </w:r>
      <w:r>
        <w:rPr>
          <w:rFonts w:hint="eastAsia" w:ascii="宋体" w:hAnsi="宋体" w:eastAsia="宋体" w:cs="宋体"/>
          <w:color w:val="000000" w:themeColor="text1"/>
          <w:kern w:val="0"/>
          <w:sz w:val="28"/>
          <w:szCs w:val="28"/>
          <w:lang w:bidi="ar"/>
        </w:rPr>
        <w:t>节能潜力分析：找出建筑能源管理、用能系统和行为节能等方面可能存在的问题并提出节能改进合理化建议。</w:t>
      </w:r>
    </w:p>
    <w:p w14:paraId="105894C3">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eastAsia="zh-CN" w:bidi="ar"/>
        </w:rPr>
        <w:t>（</w:t>
      </w:r>
      <w:r>
        <w:rPr>
          <w:rFonts w:hint="eastAsia" w:ascii="宋体" w:hAnsi="宋体" w:eastAsia="宋体" w:cs="宋体"/>
          <w:color w:val="000000" w:themeColor="text1"/>
          <w:kern w:val="0"/>
          <w:sz w:val="28"/>
          <w:szCs w:val="28"/>
          <w:lang w:bidi="ar"/>
        </w:rPr>
        <w:t>三</w:t>
      </w:r>
      <w:r>
        <w:rPr>
          <w:rFonts w:hint="eastAsia" w:ascii="宋体" w:hAnsi="宋体" w:eastAsia="宋体" w:cs="宋体"/>
          <w:color w:val="000000" w:themeColor="text1"/>
          <w:kern w:val="0"/>
          <w:sz w:val="28"/>
          <w:szCs w:val="28"/>
          <w:lang w:eastAsia="zh-CN" w:bidi="ar"/>
        </w:rPr>
        <w:t>）</w:t>
      </w:r>
      <w:r>
        <w:rPr>
          <w:rFonts w:hint="eastAsia" w:ascii="宋体" w:hAnsi="宋体" w:eastAsia="宋体" w:cs="宋体"/>
          <w:color w:val="000000" w:themeColor="text1"/>
          <w:kern w:val="0"/>
          <w:sz w:val="28"/>
          <w:szCs w:val="28"/>
          <w:lang w:bidi="ar"/>
        </w:rPr>
        <w:t>成果形式要求</w:t>
      </w:r>
    </w:p>
    <w:p w14:paraId="7E701509">
      <w:pPr>
        <w:widowControl/>
        <w:ind w:firstLine="560" w:firstLineChars="200"/>
        <w:jc w:val="left"/>
        <w:rPr>
          <w:rFonts w:hint="eastAsia" w:ascii="宋体" w:hAnsi="宋体" w:eastAsia="宋体" w:cs="宋体"/>
          <w:color w:val="000000" w:themeColor="text1"/>
          <w:kern w:val="0"/>
          <w:sz w:val="28"/>
          <w:szCs w:val="28"/>
          <w:lang w:bidi="ar"/>
        </w:rPr>
      </w:pPr>
      <w:r>
        <w:rPr>
          <w:rFonts w:hint="eastAsia" w:ascii="宋体" w:hAnsi="宋体" w:eastAsia="宋体" w:cs="宋体"/>
          <w:color w:val="000000" w:themeColor="text1"/>
          <w:kern w:val="0"/>
          <w:sz w:val="28"/>
          <w:szCs w:val="28"/>
          <w:lang w:bidi="ar"/>
        </w:rPr>
        <w:t>以组织机构代码或统一社会信用代码所辖范围的整个学校作为审计对象，出具一份全校范围的能源审计报告，其中包含有各指定用能建筑能源审计专篇，专篇内容满足上述工作要求。</w:t>
      </w:r>
    </w:p>
    <w:p w14:paraId="7FD3B82E">
      <w:pPr>
        <w:spacing w:line="360" w:lineRule="auto"/>
        <w:ind w:firstLine="560" w:firstLineChars="200"/>
        <w:rPr>
          <w:rFonts w:hint="default" w:ascii="宋体" w:hAnsi="宋体" w:eastAsia="宋体" w:cs="宋体"/>
          <w:color w:val="000000" w:themeColor="text1"/>
          <w:sz w:val="28"/>
          <w:szCs w:val="28"/>
          <w:lang w:val="en-US" w:eastAsia="zh-CN"/>
        </w:rPr>
      </w:pPr>
      <w:r>
        <w:rPr>
          <w:rFonts w:hint="eastAsia" w:ascii="宋体" w:hAnsi="宋体" w:eastAsia="宋体" w:cs="宋体"/>
          <w:color w:val="000000" w:themeColor="text1"/>
          <w:sz w:val="28"/>
          <w:szCs w:val="28"/>
          <w:lang w:val="en-US" w:eastAsia="zh-CN"/>
        </w:rPr>
        <w:t>三</w:t>
      </w:r>
      <w:r>
        <w:rPr>
          <w:rFonts w:hint="eastAsia" w:ascii="宋体" w:hAnsi="宋体" w:eastAsia="宋体" w:cs="宋体"/>
          <w:color w:val="000000" w:themeColor="text1"/>
          <w:sz w:val="28"/>
          <w:szCs w:val="28"/>
        </w:rPr>
        <w:t>、项目实施时间地点</w:t>
      </w:r>
      <w:r>
        <w:rPr>
          <w:rFonts w:hint="eastAsia" w:ascii="宋体" w:hAnsi="宋体" w:eastAsia="宋体" w:cs="宋体"/>
          <w:color w:val="000000" w:themeColor="text1"/>
          <w:sz w:val="28"/>
          <w:szCs w:val="28"/>
          <w:lang w:val="en-US" w:eastAsia="zh-CN"/>
        </w:rPr>
        <w:t>及建筑面积</w:t>
      </w:r>
    </w:p>
    <w:p w14:paraId="52C70679">
      <w:pPr>
        <w:spacing w:line="360" w:lineRule="auto"/>
        <w:ind w:firstLine="560" w:firstLineChars="200"/>
        <w:rPr>
          <w:rFonts w:hint="eastAsia" w:ascii="宋体" w:hAnsi="宋体" w:eastAsia="宋体" w:cs="宋体"/>
          <w:color w:val="000000" w:themeColor="text1"/>
          <w:sz w:val="28"/>
          <w:szCs w:val="28"/>
          <w:lang w:eastAsia="zh-CN"/>
        </w:rPr>
      </w:pPr>
      <w:r>
        <w:rPr>
          <w:rFonts w:hint="eastAsia" w:ascii="宋体" w:hAnsi="宋体" w:eastAsia="宋体" w:cs="宋体"/>
          <w:color w:val="000000" w:themeColor="text1"/>
          <w:sz w:val="28"/>
          <w:szCs w:val="28"/>
        </w:rPr>
        <w:t>项目实施时间：2025年</w:t>
      </w:r>
      <w:r>
        <w:rPr>
          <w:rFonts w:hint="eastAsia" w:ascii="宋体" w:hAnsi="宋体" w:eastAsia="宋体" w:cs="宋体"/>
          <w:color w:val="000000" w:themeColor="text1"/>
          <w:sz w:val="28"/>
          <w:szCs w:val="28"/>
          <w:lang w:val="en-US" w:eastAsia="zh-CN"/>
        </w:rPr>
        <w:t>11</w:t>
      </w:r>
      <w:r>
        <w:rPr>
          <w:rFonts w:hint="eastAsia" w:ascii="宋体" w:hAnsi="宋体" w:eastAsia="宋体" w:cs="宋体"/>
          <w:color w:val="000000" w:themeColor="text1"/>
          <w:sz w:val="28"/>
          <w:szCs w:val="28"/>
        </w:rPr>
        <w:t>月至202</w:t>
      </w:r>
      <w:r>
        <w:rPr>
          <w:rFonts w:hint="eastAsia" w:ascii="宋体" w:hAnsi="宋体" w:eastAsia="宋体" w:cs="宋体"/>
          <w:color w:val="000000" w:themeColor="text1"/>
          <w:sz w:val="28"/>
          <w:szCs w:val="28"/>
          <w:lang w:val="en-US" w:eastAsia="zh-CN"/>
        </w:rPr>
        <w:t>6</w:t>
      </w:r>
      <w:r>
        <w:rPr>
          <w:rFonts w:hint="eastAsia" w:ascii="宋体" w:hAnsi="宋体" w:eastAsia="宋体" w:cs="宋体"/>
          <w:color w:val="000000" w:themeColor="text1"/>
          <w:sz w:val="28"/>
          <w:szCs w:val="28"/>
        </w:rPr>
        <w:t>年</w:t>
      </w:r>
      <w:r>
        <w:rPr>
          <w:rFonts w:hint="eastAsia" w:ascii="宋体" w:hAnsi="宋体" w:eastAsia="宋体" w:cs="宋体"/>
          <w:color w:val="000000" w:themeColor="text1"/>
          <w:sz w:val="28"/>
          <w:szCs w:val="28"/>
          <w:lang w:val="en-US" w:eastAsia="zh-CN"/>
        </w:rPr>
        <w:t>4</w:t>
      </w:r>
      <w:r>
        <w:rPr>
          <w:rFonts w:hint="eastAsia" w:ascii="宋体" w:hAnsi="宋体" w:eastAsia="宋体" w:cs="宋体"/>
          <w:color w:val="000000" w:themeColor="text1"/>
          <w:sz w:val="28"/>
          <w:szCs w:val="28"/>
        </w:rPr>
        <w:t>月，</w:t>
      </w:r>
      <w:r>
        <w:rPr>
          <w:rFonts w:hint="eastAsia" w:ascii="宋体" w:hAnsi="宋体" w:eastAsia="宋体" w:cs="宋体"/>
          <w:color w:val="000000" w:themeColor="text1"/>
          <w:sz w:val="28"/>
          <w:szCs w:val="28"/>
          <w:lang w:val="en-US" w:eastAsia="zh-CN"/>
        </w:rPr>
        <w:t>结合学校</w:t>
      </w:r>
      <w:r>
        <w:rPr>
          <w:rFonts w:hint="eastAsia" w:ascii="宋体" w:hAnsi="宋体" w:eastAsia="宋体" w:cs="宋体"/>
          <w:color w:val="000000" w:themeColor="text1"/>
          <w:sz w:val="28"/>
          <w:szCs w:val="28"/>
        </w:rPr>
        <w:t>安排时间进行</w:t>
      </w:r>
      <w:r>
        <w:rPr>
          <w:rFonts w:hint="eastAsia" w:ascii="宋体" w:hAnsi="宋体" w:eastAsia="宋体" w:cs="宋体"/>
          <w:color w:val="000000" w:themeColor="text1"/>
          <w:sz w:val="28"/>
          <w:szCs w:val="28"/>
          <w:lang w:eastAsia="zh-CN"/>
        </w:rPr>
        <w:t>。</w:t>
      </w:r>
    </w:p>
    <w:p w14:paraId="4B6D5640">
      <w:pPr>
        <w:spacing w:line="360" w:lineRule="auto"/>
        <w:ind w:firstLine="560" w:firstLineChars="200"/>
        <w:rPr>
          <w:rFonts w:hint="eastAsia" w:ascii="宋体" w:hAnsi="宋体" w:eastAsia="宋体" w:cs="宋体"/>
          <w:color w:val="000000" w:themeColor="text1"/>
          <w:sz w:val="28"/>
          <w:szCs w:val="28"/>
          <w:lang w:val="en-US" w:eastAsia="zh-CN"/>
        </w:rPr>
      </w:pPr>
      <w:r>
        <w:rPr>
          <w:rFonts w:hint="eastAsia" w:ascii="宋体" w:hAnsi="宋体" w:eastAsia="宋体" w:cs="宋体"/>
          <w:color w:val="000000" w:themeColor="text1"/>
          <w:sz w:val="28"/>
          <w:szCs w:val="28"/>
        </w:rPr>
        <w:t>项目实施地点:</w:t>
      </w:r>
      <w:r>
        <w:rPr>
          <w:rFonts w:hint="eastAsia" w:ascii="宋体" w:hAnsi="宋体" w:eastAsia="宋体" w:cs="宋体"/>
          <w:color w:val="000000" w:themeColor="text1"/>
          <w:sz w:val="28"/>
          <w:szCs w:val="28"/>
          <w:lang w:val="en-US" w:eastAsia="zh-CN"/>
        </w:rPr>
        <w:t>松江区</w:t>
      </w:r>
      <w:r>
        <w:rPr>
          <w:rFonts w:hint="eastAsia" w:ascii="宋体" w:hAnsi="宋体" w:eastAsia="宋体" w:cs="宋体"/>
          <w:color w:val="000000" w:themeColor="text1"/>
          <w:sz w:val="28"/>
          <w:szCs w:val="28"/>
        </w:rPr>
        <w:t>文翔路1900号</w:t>
      </w:r>
      <w:r>
        <w:rPr>
          <w:rFonts w:hint="eastAsia" w:ascii="宋体" w:hAnsi="宋体" w:eastAsia="宋体" w:cs="宋体"/>
          <w:color w:val="000000" w:themeColor="text1"/>
          <w:sz w:val="28"/>
          <w:szCs w:val="28"/>
          <w:lang w:eastAsia="zh-CN"/>
        </w:rPr>
        <w:t>、</w:t>
      </w:r>
      <w:r>
        <w:rPr>
          <w:rFonts w:hint="eastAsia" w:ascii="宋体" w:hAnsi="宋体" w:eastAsia="宋体" w:cs="宋体"/>
          <w:color w:val="000000" w:themeColor="text1"/>
          <w:sz w:val="28"/>
          <w:szCs w:val="28"/>
          <w:lang w:val="en-US" w:eastAsia="zh-CN"/>
        </w:rPr>
        <w:t>松江区文汇路600弄、800弄、长宁区古北路620号</w:t>
      </w:r>
    </w:p>
    <w:p w14:paraId="1FCBCAF7">
      <w:pPr>
        <w:spacing w:line="360" w:lineRule="auto"/>
        <w:rPr>
          <w:rFonts w:hint="eastAsia" w:ascii="宋体" w:hAnsi="宋体" w:eastAsia="宋体" w:cs="宋体"/>
          <w:color w:val="000000" w:themeColor="text1"/>
          <w:sz w:val="28"/>
          <w:szCs w:val="28"/>
          <w:lang w:val="en-US" w:eastAsia="zh-CN"/>
        </w:rPr>
      </w:pPr>
      <w:r>
        <w:rPr>
          <w:rFonts w:hint="eastAsia" w:ascii="宋体" w:hAnsi="宋体" w:eastAsia="宋体" w:cs="宋体"/>
          <w:color w:val="000000" w:themeColor="text1"/>
          <w:sz w:val="28"/>
          <w:szCs w:val="28"/>
          <w:lang w:val="en-US" w:eastAsia="zh-CN"/>
        </w:rPr>
        <w:t>能源审计建筑面积：</w:t>
      </w:r>
    </w:p>
    <w:tbl>
      <w:tblPr>
        <w:tblStyle w:val="6"/>
        <w:tblW w:w="51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1931"/>
        <w:gridCol w:w="1463"/>
        <w:gridCol w:w="1743"/>
        <w:gridCol w:w="1669"/>
        <w:gridCol w:w="1080"/>
      </w:tblGrid>
      <w:tr w14:paraId="62327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8" w:hRule="atLeast"/>
        </w:trPr>
        <w:tc>
          <w:tcPr>
            <w:tcW w:w="528" w:type="pct"/>
            <w:noWrap/>
            <w:vAlign w:val="center"/>
          </w:tcPr>
          <w:p w14:paraId="40B1050A">
            <w:pPr>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094" w:type="pct"/>
            <w:noWrap/>
            <w:vAlign w:val="center"/>
          </w:tcPr>
          <w:p w14:paraId="621B22D4">
            <w:pPr>
              <w:jc w:val="center"/>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校区</w:t>
            </w:r>
          </w:p>
        </w:tc>
        <w:tc>
          <w:tcPr>
            <w:tcW w:w="829" w:type="pct"/>
            <w:noWrap/>
            <w:vAlign w:val="center"/>
          </w:tcPr>
          <w:p w14:paraId="461402D2">
            <w:pPr>
              <w:jc w:val="center"/>
              <w:rPr>
                <w:rFonts w:hint="eastAsia" w:ascii="宋体" w:hAnsi="宋体" w:eastAsia="宋体" w:cs="宋体"/>
                <w:b/>
                <w:bCs/>
                <w:sz w:val="21"/>
                <w:szCs w:val="21"/>
              </w:rPr>
            </w:pPr>
            <w:r>
              <w:rPr>
                <w:rFonts w:hint="eastAsia" w:ascii="宋体" w:hAnsi="宋体" w:eastAsia="宋体" w:cs="宋体"/>
                <w:b/>
                <w:bCs/>
                <w:sz w:val="21"/>
                <w:szCs w:val="21"/>
              </w:rPr>
              <w:t>学校总建筑面积（㎡）</w:t>
            </w:r>
          </w:p>
        </w:tc>
        <w:tc>
          <w:tcPr>
            <w:tcW w:w="1934" w:type="pct"/>
            <w:gridSpan w:val="2"/>
            <w:noWrap/>
            <w:vAlign w:val="center"/>
          </w:tcPr>
          <w:p w14:paraId="08BD0A09">
            <w:pPr>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其中</w:t>
            </w:r>
            <w:r>
              <w:rPr>
                <w:rFonts w:hint="eastAsia" w:ascii="宋体" w:hAnsi="宋体" w:eastAsia="宋体" w:cs="宋体"/>
                <w:b/>
                <w:bCs/>
                <w:sz w:val="21"/>
                <w:szCs w:val="21"/>
              </w:rPr>
              <w:t>10000㎡以上建筑（㎡）</w:t>
            </w:r>
          </w:p>
        </w:tc>
        <w:tc>
          <w:tcPr>
            <w:tcW w:w="612" w:type="pct"/>
            <w:noWrap/>
            <w:vAlign w:val="center"/>
          </w:tcPr>
          <w:p w14:paraId="5736A348">
            <w:pPr>
              <w:jc w:val="center"/>
              <w:rPr>
                <w:rFonts w:hint="eastAsia" w:ascii="宋体" w:hAnsi="宋体" w:eastAsia="宋体" w:cs="宋体"/>
                <w:b/>
                <w:bCs/>
                <w:sz w:val="21"/>
                <w:szCs w:val="21"/>
              </w:rPr>
            </w:pPr>
            <w:r>
              <w:rPr>
                <w:rFonts w:hint="eastAsia" w:ascii="宋体" w:hAnsi="宋体" w:eastAsia="宋体" w:cs="宋体"/>
                <w:b/>
                <w:bCs/>
                <w:sz w:val="21"/>
                <w:szCs w:val="21"/>
              </w:rPr>
              <w:t>10000㎡以上建筑数量（栋）</w:t>
            </w:r>
          </w:p>
        </w:tc>
      </w:tr>
      <w:tr w14:paraId="68F72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528" w:type="pct"/>
            <w:vMerge w:val="restart"/>
            <w:noWrap/>
            <w:vAlign w:val="center"/>
          </w:tcPr>
          <w:p w14:paraId="4594EE4F">
            <w:pPr>
              <w:jc w:val="center"/>
              <w:rPr>
                <w:rFonts w:hint="eastAsia" w:ascii="宋体" w:hAnsi="宋体" w:eastAsia="宋体" w:cs="宋体"/>
                <w:sz w:val="21"/>
                <w:szCs w:val="21"/>
              </w:rPr>
            </w:pPr>
            <w:r>
              <w:rPr>
                <w:rFonts w:hint="eastAsia" w:ascii="宋体" w:hAnsi="宋体" w:eastAsia="宋体" w:cs="宋体"/>
                <w:sz w:val="21"/>
                <w:szCs w:val="21"/>
              </w:rPr>
              <w:t>1</w:t>
            </w:r>
          </w:p>
        </w:tc>
        <w:tc>
          <w:tcPr>
            <w:tcW w:w="1094" w:type="pct"/>
            <w:vMerge w:val="restart"/>
            <w:noWrap/>
            <w:vAlign w:val="center"/>
          </w:tcPr>
          <w:p w14:paraId="7D871A2C">
            <w:pPr>
              <w:rPr>
                <w:rFonts w:hint="eastAsia" w:ascii="宋体" w:hAnsi="宋体" w:eastAsia="宋体" w:cs="宋体"/>
                <w:sz w:val="21"/>
                <w:szCs w:val="21"/>
              </w:rPr>
            </w:pPr>
            <w:r>
              <w:rPr>
                <w:rFonts w:hint="eastAsia" w:ascii="宋体" w:hAnsi="宋体" w:eastAsia="宋体" w:cs="宋体"/>
                <w:sz w:val="21"/>
                <w:szCs w:val="21"/>
              </w:rPr>
              <w:t>松江校区</w:t>
            </w:r>
            <w:r>
              <w:rPr>
                <w:rFonts w:hint="eastAsia" w:ascii="宋体" w:hAnsi="宋体" w:eastAsia="宋体" w:cs="宋体"/>
                <w:sz w:val="21"/>
                <w:szCs w:val="21"/>
                <w:lang w:val="en-US" w:eastAsia="zh-CN"/>
              </w:rPr>
              <w:t>+学生社区</w:t>
            </w:r>
          </w:p>
        </w:tc>
        <w:tc>
          <w:tcPr>
            <w:tcW w:w="829" w:type="pct"/>
            <w:vMerge w:val="restart"/>
            <w:noWrap/>
            <w:vAlign w:val="center"/>
          </w:tcPr>
          <w:p w14:paraId="43040325">
            <w:pPr>
              <w:jc w:val="center"/>
              <w:rPr>
                <w:rFonts w:hint="eastAsia" w:ascii="宋体" w:hAnsi="宋体" w:eastAsia="宋体" w:cs="宋体"/>
                <w:sz w:val="21"/>
                <w:szCs w:val="21"/>
              </w:rPr>
            </w:pPr>
            <w:r>
              <w:rPr>
                <w:rFonts w:hint="eastAsia" w:ascii="宋体" w:hAnsi="宋体" w:eastAsia="宋体" w:cs="宋体"/>
                <w:sz w:val="21"/>
                <w:szCs w:val="21"/>
              </w:rPr>
              <w:t>262384.47</w:t>
            </w:r>
          </w:p>
        </w:tc>
        <w:tc>
          <w:tcPr>
            <w:tcW w:w="988" w:type="pct"/>
            <w:noWrap/>
            <w:vAlign w:val="center"/>
          </w:tcPr>
          <w:p w14:paraId="0BF97158">
            <w:pPr>
              <w:jc w:val="center"/>
              <w:rPr>
                <w:rFonts w:hint="eastAsia" w:ascii="宋体" w:hAnsi="宋体" w:eastAsia="宋体" w:cs="宋体"/>
                <w:sz w:val="21"/>
                <w:szCs w:val="21"/>
              </w:rPr>
            </w:pPr>
            <w:r>
              <w:rPr>
                <w:rFonts w:hint="eastAsia" w:ascii="宋体" w:hAnsi="宋体"/>
              </w:rPr>
              <w:t>图文信息大楼</w:t>
            </w:r>
          </w:p>
        </w:tc>
        <w:tc>
          <w:tcPr>
            <w:tcW w:w="946" w:type="pct"/>
            <w:noWrap/>
            <w:vAlign w:val="center"/>
          </w:tcPr>
          <w:p w14:paraId="6610C6B4">
            <w:pPr>
              <w:jc w:val="center"/>
              <w:rPr>
                <w:rFonts w:hint="eastAsia" w:ascii="宋体" w:hAnsi="宋体" w:eastAsia="宋体" w:cs="宋体"/>
                <w:sz w:val="21"/>
                <w:szCs w:val="21"/>
              </w:rPr>
            </w:pPr>
            <w:r>
              <w:rPr>
                <w:rFonts w:hint="eastAsia" w:ascii="宋体" w:hAnsi="宋体"/>
              </w:rPr>
              <w:t>28441.73</w:t>
            </w:r>
          </w:p>
        </w:tc>
        <w:tc>
          <w:tcPr>
            <w:tcW w:w="612" w:type="pct"/>
            <w:vMerge w:val="restart"/>
            <w:noWrap/>
            <w:vAlign w:val="center"/>
          </w:tcPr>
          <w:p w14:paraId="7B7DFAB5">
            <w:pPr>
              <w:jc w:val="center"/>
              <w:rPr>
                <w:rFonts w:hint="eastAsia" w:ascii="宋体" w:hAnsi="宋体" w:eastAsia="宋体" w:cs="宋体"/>
                <w:sz w:val="21"/>
                <w:szCs w:val="21"/>
              </w:rPr>
            </w:pPr>
            <w:r>
              <w:rPr>
                <w:rFonts w:hint="eastAsia" w:ascii="宋体" w:hAnsi="宋体" w:eastAsia="宋体" w:cs="宋体"/>
                <w:sz w:val="21"/>
                <w:szCs w:val="21"/>
              </w:rPr>
              <w:t>3</w:t>
            </w:r>
          </w:p>
        </w:tc>
      </w:tr>
      <w:tr w14:paraId="4D27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528" w:type="pct"/>
            <w:vMerge w:val="continue"/>
            <w:noWrap/>
            <w:vAlign w:val="center"/>
          </w:tcPr>
          <w:p w14:paraId="5D227814">
            <w:pPr>
              <w:jc w:val="center"/>
            </w:pPr>
          </w:p>
        </w:tc>
        <w:tc>
          <w:tcPr>
            <w:tcW w:w="1094" w:type="pct"/>
            <w:vMerge w:val="continue"/>
            <w:noWrap/>
            <w:vAlign w:val="center"/>
          </w:tcPr>
          <w:p w14:paraId="6B504A55">
            <w:pPr>
              <w:jc w:val="center"/>
            </w:pPr>
          </w:p>
        </w:tc>
        <w:tc>
          <w:tcPr>
            <w:tcW w:w="829" w:type="pct"/>
            <w:vMerge w:val="continue"/>
            <w:noWrap/>
            <w:vAlign w:val="center"/>
          </w:tcPr>
          <w:p w14:paraId="31B6E50D">
            <w:pPr>
              <w:jc w:val="center"/>
            </w:pPr>
          </w:p>
        </w:tc>
        <w:tc>
          <w:tcPr>
            <w:tcW w:w="988" w:type="pct"/>
            <w:noWrap/>
            <w:vAlign w:val="center"/>
          </w:tcPr>
          <w:p w14:paraId="668D75B0">
            <w:pPr>
              <w:jc w:val="center"/>
            </w:pPr>
            <w:r>
              <w:rPr>
                <w:rFonts w:hint="eastAsia" w:ascii="宋体" w:hAnsi="宋体"/>
              </w:rPr>
              <w:t>图书馆</w:t>
            </w:r>
          </w:p>
        </w:tc>
        <w:tc>
          <w:tcPr>
            <w:tcW w:w="946" w:type="pct"/>
            <w:noWrap/>
            <w:vAlign w:val="center"/>
          </w:tcPr>
          <w:p w14:paraId="04F6E8C3">
            <w:pPr>
              <w:jc w:val="center"/>
            </w:pPr>
            <w:r>
              <w:rPr>
                <w:rFonts w:hint="eastAsia" w:ascii="宋体" w:hAnsi="宋体"/>
              </w:rPr>
              <w:t>18947.15</w:t>
            </w:r>
          </w:p>
        </w:tc>
        <w:tc>
          <w:tcPr>
            <w:tcW w:w="612" w:type="pct"/>
            <w:vMerge w:val="continue"/>
            <w:noWrap/>
            <w:vAlign w:val="center"/>
          </w:tcPr>
          <w:p w14:paraId="38A8A092">
            <w:pPr>
              <w:jc w:val="center"/>
            </w:pPr>
          </w:p>
        </w:tc>
      </w:tr>
      <w:tr w14:paraId="23560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528" w:type="pct"/>
            <w:vMerge w:val="continue"/>
            <w:noWrap/>
            <w:vAlign w:val="center"/>
          </w:tcPr>
          <w:p w14:paraId="02063275">
            <w:pPr>
              <w:jc w:val="center"/>
            </w:pPr>
          </w:p>
        </w:tc>
        <w:tc>
          <w:tcPr>
            <w:tcW w:w="1094" w:type="pct"/>
            <w:vMerge w:val="continue"/>
            <w:noWrap/>
            <w:vAlign w:val="center"/>
          </w:tcPr>
          <w:p w14:paraId="18F458C2">
            <w:pPr>
              <w:jc w:val="center"/>
            </w:pPr>
          </w:p>
        </w:tc>
        <w:tc>
          <w:tcPr>
            <w:tcW w:w="829" w:type="pct"/>
            <w:vMerge w:val="continue"/>
            <w:noWrap/>
            <w:vAlign w:val="center"/>
          </w:tcPr>
          <w:p w14:paraId="48EAF4ED">
            <w:pPr>
              <w:jc w:val="center"/>
            </w:pPr>
          </w:p>
        </w:tc>
        <w:tc>
          <w:tcPr>
            <w:tcW w:w="988" w:type="pct"/>
            <w:noWrap/>
            <w:vAlign w:val="center"/>
          </w:tcPr>
          <w:p w14:paraId="4632FF39">
            <w:pPr>
              <w:jc w:val="center"/>
            </w:pPr>
            <w:r>
              <w:rPr>
                <w:rFonts w:hint="eastAsia" w:ascii="宋体" w:hAnsi="宋体"/>
              </w:rPr>
              <w:t>学思楼</w:t>
            </w:r>
          </w:p>
        </w:tc>
        <w:tc>
          <w:tcPr>
            <w:tcW w:w="946" w:type="pct"/>
            <w:noWrap/>
            <w:vAlign w:val="center"/>
          </w:tcPr>
          <w:p w14:paraId="791EFA3F">
            <w:pPr>
              <w:jc w:val="center"/>
            </w:pPr>
            <w:r>
              <w:rPr>
                <w:rFonts w:hint="eastAsia" w:ascii="宋体" w:hAnsi="宋体"/>
              </w:rPr>
              <w:t>27434.44</w:t>
            </w:r>
          </w:p>
        </w:tc>
        <w:tc>
          <w:tcPr>
            <w:tcW w:w="612" w:type="pct"/>
            <w:vMerge w:val="continue"/>
            <w:noWrap/>
            <w:vAlign w:val="center"/>
          </w:tcPr>
          <w:p w14:paraId="6D7930E4">
            <w:pPr>
              <w:jc w:val="center"/>
            </w:pPr>
          </w:p>
        </w:tc>
      </w:tr>
      <w:tr w14:paraId="50175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528" w:type="pct"/>
            <w:noWrap/>
            <w:vAlign w:val="center"/>
          </w:tcPr>
          <w:p w14:paraId="6D4BC979">
            <w:pPr>
              <w:jc w:val="center"/>
              <w:rPr>
                <w:rFonts w:hint="eastAsia" w:ascii="宋体" w:hAnsi="宋体" w:eastAsia="宋体" w:cs="宋体"/>
                <w:sz w:val="21"/>
                <w:szCs w:val="21"/>
              </w:rPr>
            </w:pPr>
            <w:r>
              <w:rPr>
                <w:rFonts w:hint="eastAsia" w:ascii="宋体" w:hAnsi="宋体" w:eastAsia="宋体" w:cs="宋体"/>
                <w:sz w:val="21"/>
                <w:szCs w:val="21"/>
              </w:rPr>
              <w:t>2</w:t>
            </w:r>
          </w:p>
        </w:tc>
        <w:tc>
          <w:tcPr>
            <w:tcW w:w="1094" w:type="pct"/>
            <w:noWrap/>
            <w:vAlign w:val="center"/>
          </w:tcPr>
          <w:p w14:paraId="0F7D2537">
            <w:pPr>
              <w:rPr>
                <w:rFonts w:hint="eastAsia" w:ascii="宋体" w:hAnsi="宋体" w:eastAsia="宋体" w:cs="宋体"/>
                <w:sz w:val="21"/>
                <w:szCs w:val="21"/>
              </w:rPr>
            </w:pPr>
            <w:r>
              <w:rPr>
                <w:rFonts w:hint="eastAsia" w:ascii="宋体" w:hAnsi="宋体" w:eastAsia="宋体" w:cs="宋体"/>
                <w:sz w:val="21"/>
                <w:szCs w:val="21"/>
              </w:rPr>
              <w:t>长宁校区</w:t>
            </w:r>
          </w:p>
        </w:tc>
        <w:tc>
          <w:tcPr>
            <w:tcW w:w="829" w:type="pct"/>
            <w:noWrap/>
            <w:vAlign w:val="center"/>
          </w:tcPr>
          <w:p w14:paraId="4F096501">
            <w:pPr>
              <w:jc w:val="center"/>
              <w:rPr>
                <w:rFonts w:hint="eastAsia" w:ascii="宋体" w:hAnsi="宋体" w:eastAsia="宋体" w:cs="宋体"/>
                <w:sz w:val="21"/>
                <w:szCs w:val="21"/>
              </w:rPr>
            </w:pPr>
            <w:r>
              <w:rPr>
                <w:rFonts w:hint="eastAsia" w:ascii="宋体" w:hAnsi="宋体" w:eastAsia="宋体" w:cs="宋体"/>
                <w:sz w:val="21"/>
                <w:szCs w:val="21"/>
              </w:rPr>
              <w:t>50644.69</w:t>
            </w:r>
          </w:p>
        </w:tc>
        <w:tc>
          <w:tcPr>
            <w:tcW w:w="988" w:type="pct"/>
            <w:noWrap/>
            <w:vAlign w:val="center"/>
          </w:tcPr>
          <w:p w14:paraId="3674AFC8">
            <w:pPr>
              <w:jc w:val="center"/>
              <w:rPr>
                <w:rFonts w:hint="eastAsia" w:ascii="宋体" w:hAnsi="宋体" w:eastAsia="宋体" w:cs="宋体"/>
                <w:sz w:val="21"/>
                <w:szCs w:val="21"/>
              </w:rPr>
            </w:pPr>
            <w:r>
              <w:rPr>
                <w:rFonts w:hint="eastAsia" w:ascii="宋体" w:hAnsi="宋体"/>
              </w:rPr>
              <w:t>综合楼</w:t>
            </w:r>
          </w:p>
        </w:tc>
        <w:tc>
          <w:tcPr>
            <w:tcW w:w="946" w:type="pct"/>
            <w:noWrap/>
            <w:vAlign w:val="center"/>
          </w:tcPr>
          <w:p w14:paraId="5104CEE3">
            <w:pPr>
              <w:jc w:val="center"/>
              <w:rPr>
                <w:rFonts w:hint="eastAsia" w:ascii="宋体" w:hAnsi="宋体" w:eastAsia="宋体" w:cs="宋体"/>
                <w:sz w:val="21"/>
                <w:szCs w:val="21"/>
              </w:rPr>
            </w:pPr>
            <w:r>
              <w:rPr>
                <w:rFonts w:hint="eastAsia" w:ascii="宋体" w:hAnsi="宋体"/>
              </w:rPr>
              <w:t>18508.7</w:t>
            </w:r>
          </w:p>
        </w:tc>
        <w:tc>
          <w:tcPr>
            <w:tcW w:w="612" w:type="pct"/>
            <w:noWrap/>
            <w:vAlign w:val="center"/>
          </w:tcPr>
          <w:p w14:paraId="35884C05">
            <w:pPr>
              <w:jc w:val="center"/>
              <w:rPr>
                <w:rFonts w:hint="eastAsia" w:ascii="宋体" w:hAnsi="宋体" w:eastAsia="宋体" w:cs="宋体"/>
                <w:sz w:val="21"/>
                <w:szCs w:val="21"/>
              </w:rPr>
            </w:pPr>
            <w:r>
              <w:rPr>
                <w:rFonts w:hint="eastAsia" w:ascii="宋体" w:hAnsi="宋体" w:eastAsia="宋体" w:cs="宋体"/>
                <w:sz w:val="21"/>
                <w:szCs w:val="21"/>
              </w:rPr>
              <w:t>1</w:t>
            </w:r>
          </w:p>
        </w:tc>
      </w:tr>
    </w:tbl>
    <w:p w14:paraId="19A98D71">
      <w:pPr>
        <w:spacing w:line="360" w:lineRule="auto"/>
        <w:ind w:firstLine="560" w:firstLineChars="200"/>
        <w:rPr>
          <w:rFonts w:hint="default" w:ascii="宋体" w:hAnsi="宋体" w:eastAsia="宋体" w:cs="宋体"/>
          <w:color w:val="000000" w:themeColor="text1"/>
          <w:sz w:val="28"/>
          <w:szCs w:val="28"/>
          <w:lang w:val="en-US" w:eastAsia="zh-CN"/>
        </w:rPr>
      </w:pPr>
    </w:p>
    <w:p w14:paraId="51AA77F0">
      <w:pPr>
        <w:spacing w:line="360" w:lineRule="auto"/>
        <w:ind w:firstLine="560" w:firstLineChars="200"/>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四</w:t>
      </w:r>
      <w:r>
        <w:rPr>
          <w:rFonts w:hint="eastAsia" w:ascii="宋体" w:hAnsi="宋体" w:eastAsia="宋体" w:cs="宋体"/>
          <w:color w:val="000000" w:themeColor="text1"/>
          <w:sz w:val="28"/>
          <w:szCs w:val="28"/>
        </w:rPr>
        <w:t>、合同款项的支付方式</w:t>
      </w:r>
    </w:p>
    <w:p w14:paraId="75505B7D">
      <w:pPr>
        <w:spacing w:line="360" w:lineRule="auto"/>
        <w:ind w:firstLine="560" w:firstLineChars="200"/>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合同以人民币付款，采用银行转账方式。</w:t>
      </w:r>
    </w:p>
    <w:p w14:paraId="7C81F88C">
      <w:pPr>
        <w:spacing w:line="360" w:lineRule="auto"/>
        <w:ind w:firstLine="560" w:firstLineChars="200"/>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五</w:t>
      </w:r>
      <w:r>
        <w:rPr>
          <w:rFonts w:hint="eastAsia" w:ascii="宋体" w:hAnsi="宋体" w:eastAsia="宋体" w:cs="宋体"/>
          <w:color w:val="000000" w:themeColor="text1"/>
          <w:sz w:val="28"/>
          <w:szCs w:val="28"/>
        </w:rPr>
        <w:t>、项目验收方法或标准</w:t>
      </w:r>
    </w:p>
    <w:p w14:paraId="45A5503E">
      <w:pPr>
        <w:spacing w:line="360" w:lineRule="auto"/>
        <w:ind w:firstLine="560" w:firstLineChars="200"/>
        <w:rPr>
          <w:rFonts w:hint="eastAsia" w:eastAsiaTheme="minorEastAsia"/>
          <w:lang w:eastAsia="zh-CN"/>
        </w:rPr>
      </w:pPr>
      <w:r>
        <w:rPr>
          <w:rFonts w:hint="eastAsia" w:ascii="宋体" w:hAnsi="宋体" w:eastAsia="宋体" w:cs="宋体"/>
          <w:color w:val="000000" w:themeColor="text1"/>
          <w:sz w:val="28"/>
          <w:szCs w:val="28"/>
          <w:lang w:eastAsia="zh-CN"/>
        </w:rPr>
        <w:t>采购人</w:t>
      </w:r>
      <w:r>
        <w:rPr>
          <w:rFonts w:hint="eastAsia" w:ascii="宋体" w:hAnsi="宋体" w:eastAsia="宋体" w:cs="宋体"/>
          <w:color w:val="000000" w:themeColor="text1"/>
          <w:sz w:val="28"/>
          <w:szCs w:val="28"/>
          <w:lang w:val="en-US" w:eastAsia="zh-CN"/>
        </w:rPr>
        <w:t xml:space="preserve">对项目成果进行验收，依据合同内容及发票开展验收工作，验收内容涵盖各项要求的履约情况。 </w:t>
      </w:r>
    </w:p>
    <w:p w14:paraId="2FE07D92">
      <w:pPr>
        <w:spacing w:line="360" w:lineRule="auto"/>
        <w:ind w:firstLine="408"/>
        <w:rPr>
          <w:rFonts w:hint="eastAsia" w:ascii="宋体" w:hAnsi="宋体" w:eastAsia="宋体" w:cs="宋体"/>
          <w:sz w:val="28"/>
          <w:szCs w:val="28"/>
        </w:rPr>
      </w:pPr>
    </w:p>
    <w:p w14:paraId="735F9B0C">
      <w:pPr>
        <w:spacing w:line="360" w:lineRule="auto"/>
        <w:ind w:firstLine="408"/>
        <w:rPr>
          <w:rFonts w:hint="eastAsia" w:ascii="宋体" w:hAnsi="宋体" w:eastAsia="宋体" w:cs="宋体"/>
          <w:color w:val="FF0000"/>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GE4NTE0YzU1M2NhZTRjZGUxYmQ0NzZlOTdhZjk3OTYifQ=="/>
  </w:docVars>
  <w:rsids>
    <w:rsidRoot w:val="00617D5C"/>
    <w:rsid w:val="00054D09"/>
    <w:rsid w:val="00136AD7"/>
    <w:rsid w:val="00581002"/>
    <w:rsid w:val="00601822"/>
    <w:rsid w:val="00617D5C"/>
    <w:rsid w:val="006310B1"/>
    <w:rsid w:val="00677491"/>
    <w:rsid w:val="007A4A79"/>
    <w:rsid w:val="0081207F"/>
    <w:rsid w:val="00843E14"/>
    <w:rsid w:val="0095018B"/>
    <w:rsid w:val="00A02D9A"/>
    <w:rsid w:val="00A56018"/>
    <w:rsid w:val="00AF10DA"/>
    <w:rsid w:val="00B643B0"/>
    <w:rsid w:val="00B73FB6"/>
    <w:rsid w:val="00B85E19"/>
    <w:rsid w:val="00C85ADA"/>
    <w:rsid w:val="00E23619"/>
    <w:rsid w:val="00E97C15"/>
    <w:rsid w:val="00F62930"/>
    <w:rsid w:val="01233A9E"/>
    <w:rsid w:val="028C66A4"/>
    <w:rsid w:val="08F24482"/>
    <w:rsid w:val="0A3C0F51"/>
    <w:rsid w:val="0C100964"/>
    <w:rsid w:val="14997EA7"/>
    <w:rsid w:val="15FF01DE"/>
    <w:rsid w:val="188C387F"/>
    <w:rsid w:val="1E4A13FD"/>
    <w:rsid w:val="1F234F00"/>
    <w:rsid w:val="1FEA06B4"/>
    <w:rsid w:val="26035342"/>
    <w:rsid w:val="26A2016B"/>
    <w:rsid w:val="2BCE7FDF"/>
    <w:rsid w:val="34930FB5"/>
    <w:rsid w:val="35B06C08"/>
    <w:rsid w:val="385C5C2F"/>
    <w:rsid w:val="39AB1249"/>
    <w:rsid w:val="47F77E33"/>
    <w:rsid w:val="4F926771"/>
    <w:rsid w:val="52D4387D"/>
    <w:rsid w:val="55D4339A"/>
    <w:rsid w:val="57FC3F32"/>
    <w:rsid w:val="5CFA5C4D"/>
    <w:rsid w:val="5EEE27A4"/>
    <w:rsid w:val="62D5155B"/>
    <w:rsid w:val="66703465"/>
    <w:rsid w:val="675E7762"/>
    <w:rsid w:val="707D24CB"/>
    <w:rsid w:val="71E2648D"/>
    <w:rsid w:val="783D3525"/>
    <w:rsid w:val="79650267"/>
    <w:rsid w:val="7A99244D"/>
    <w:rsid w:val="7C961AE5"/>
    <w:rsid w:val="7E3475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autoRedefine/>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批注框文本 字符"/>
    <w:basedOn w:val="7"/>
    <w:link w:val="2"/>
    <w:semiHidden/>
    <w:qFormat/>
    <w:uiPriority w:val="99"/>
    <w:rPr>
      <w:sz w:val="18"/>
      <w:szCs w:val="18"/>
    </w:rPr>
  </w:style>
  <w:style w:type="character" w:customStyle="1" w:styleId="9">
    <w:name w:val="页眉 字符"/>
    <w:basedOn w:val="7"/>
    <w:link w:val="4"/>
    <w:autoRedefine/>
    <w:qFormat/>
    <w:uiPriority w:val="99"/>
    <w:rPr>
      <w:sz w:val="18"/>
      <w:szCs w:val="18"/>
    </w:rPr>
  </w:style>
  <w:style w:type="character" w:customStyle="1" w:styleId="10">
    <w:name w:val="页脚 字符"/>
    <w:basedOn w:val="7"/>
    <w:link w:val="3"/>
    <w:autoRedefine/>
    <w:qFormat/>
    <w:uiPriority w:val="99"/>
    <w:rPr>
      <w:sz w:val="18"/>
      <w:szCs w:val="18"/>
    </w:rPr>
  </w:style>
  <w:style w:type="paragraph" w:styleId="1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1612</Words>
  <Characters>1718</Characters>
  <Lines>5</Lines>
  <Paragraphs>1</Paragraphs>
  <TotalTime>5</TotalTime>
  <ScaleCrop>false</ScaleCrop>
  <LinksUpToDate>false</LinksUpToDate>
  <CharactersWithSpaces>1719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2019-01-24T01:19:00Z</dcterms:created>
  <dc:creator>王丽雯</dc:creator>
  <cp:lastModifiedBy>卢丹</cp:lastModifiedBy>
  <dcterms:modified xsi:type="dcterms:W3CDTF">2025-10-29T06:21:27Z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12C1EB3B698A4EE9868B64A72500A443_12</vt:lpwstr>
  </property>
  <property fmtid="{D5CDD505-2E9C-101B-9397-08002B2CF9AE}" pid="4" name="KSOTemplateDocerSaveRecord">
    <vt:lpwstr>eyJoZGlkIjoiOGE4NTE0YzU1M2NhZTRjZGUxYmQ0NzZlOTdhZjk3OTYiLCJ1c2VySWQiOiI0MzgwOTA2NTIifQ==</vt:lpwstr>
  </property>
</Properties>
</file>