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napToGrid w:val="0"/>
        <w:spacing w:line="360" w:lineRule="auto"/>
        <w:ind w:left="336" w:hanging="336"/>
        <w:jc w:val="center"/>
        <w:textAlignment w:val="baseline"/>
        <w:rPr>
          <w:rFonts w:ascii="方正小标宋简体" w:hAnsi="Times New Roman" w:eastAsia="方正小标宋简体" w:cs="Times New Roman"/>
          <w:b/>
          <w:sz w:val="44"/>
          <w:szCs w:val="44"/>
        </w:rPr>
      </w:pPr>
      <w:r>
        <w:rPr>
          <w:rFonts w:hint="eastAsia" w:ascii="方正小标宋简体" w:hAnsi="Times New Roman" w:eastAsia="方正小标宋简体" w:cs="Times New Roman"/>
          <w:b/>
          <w:sz w:val="44"/>
          <w:szCs w:val="44"/>
        </w:rPr>
        <w:t>教职工补充医疗保险（即新华人寿保险公司）</w:t>
      </w:r>
    </w:p>
    <w:p>
      <w:pPr>
        <w:widowControl/>
        <w:shd w:val="clear" w:color="auto" w:fill="FFFFFF"/>
        <w:snapToGrid w:val="0"/>
        <w:spacing w:line="360" w:lineRule="auto"/>
        <w:ind w:left="336" w:hanging="336"/>
        <w:jc w:val="center"/>
        <w:textAlignment w:val="baseline"/>
        <w:rPr>
          <w:rFonts w:ascii="方正小标宋简体" w:hAnsi="Times New Roman" w:eastAsia="方正小标宋简体" w:cs="Times New Roman"/>
          <w:b/>
          <w:sz w:val="44"/>
          <w:szCs w:val="44"/>
        </w:rPr>
      </w:pPr>
      <w:r>
        <w:rPr>
          <w:rFonts w:hint="eastAsia" w:ascii="方正小标宋简体" w:hAnsi="Times New Roman" w:eastAsia="方正小标宋简体" w:cs="Times New Roman"/>
          <w:b/>
          <w:sz w:val="44"/>
          <w:szCs w:val="44"/>
        </w:rPr>
        <w:t>理赔指南</w:t>
      </w:r>
    </w:p>
    <w:p>
      <w:pPr>
        <w:pStyle w:val="6"/>
        <w:widowControl/>
        <w:numPr>
          <w:ilvl w:val="0"/>
          <w:numId w:val="1"/>
        </w:numPr>
        <w:shd w:val="clear" w:color="auto" w:fill="FFFFFF"/>
        <w:snapToGrid w:val="0"/>
        <w:spacing w:line="360" w:lineRule="auto"/>
        <w:ind w:firstLineChars="0"/>
        <w:jc w:val="left"/>
        <w:textAlignment w:val="baseline"/>
        <w:rPr>
          <w:rFonts w:ascii="黑体" w:hAnsi="黑体" w:eastAsia="黑体" w:cs="Times New Roman"/>
          <w:bCs/>
          <w:sz w:val="32"/>
          <w:szCs w:val="32"/>
        </w:rPr>
      </w:pPr>
      <w:r>
        <w:rPr>
          <w:rFonts w:hint="eastAsia" w:ascii="黑体" w:hAnsi="黑体" w:eastAsia="黑体" w:cs="Times New Roman"/>
          <w:bCs/>
          <w:sz w:val="32"/>
          <w:szCs w:val="32"/>
        </w:rPr>
        <w:t xml:space="preserve">热线服务： </w:t>
      </w:r>
    </w:p>
    <w:p>
      <w:pPr>
        <w:widowControl/>
        <w:shd w:val="clear" w:color="auto" w:fill="FFFFFF"/>
        <w:snapToGrid w:val="0"/>
        <w:spacing w:line="360" w:lineRule="auto"/>
        <w:ind w:firstLine="640" w:firstLineChars="200"/>
        <w:jc w:val="left"/>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4006812018</w:t>
      </w:r>
    </w:p>
    <w:p>
      <w:pPr>
        <w:pStyle w:val="6"/>
        <w:widowControl/>
        <w:numPr>
          <w:ilvl w:val="0"/>
          <w:numId w:val="1"/>
        </w:numPr>
        <w:shd w:val="clear" w:color="auto" w:fill="FFFFFF"/>
        <w:snapToGrid w:val="0"/>
        <w:spacing w:line="360" w:lineRule="auto"/>
        <w:ind w:firstLineChars="0"/>
        <w:jc w:val="left"/>
        <w:textAlignment w:val="baseline"/>
        <w:rPr>
          <w:rFonts w:ascii="黑体" w:hAnsi="黑体" w:eastAsia="黑体" w:cs="Times New Roman"/>
          <w:bCs/>
          <w:sz w:val="32"/>
          <w:szCs w:val="32"/>
        </w:rPr>
      </w:pPr>
      <w:r>
        <w:rPr>
          <w:rFonts w:hint="eastAsia" w:ascii="黑体" w:hAnsi="黑体" w:eastAsia="黑体" w:cs="Times New Roman"/>
          <w:bCs/>
          <w:sz w:val="32"/>
          <w:szCs w:val="32"/>
        </w:rPr>
        <w:t>保险期限：</w:t>
      </w:r>
    </w:p>
    <w:p>
      <w:pPr>
        <w:widowControl/>
        <w:shd w:val="clear" w:color="auto" w:fill="FFFFFF"/>
        <w:snapToGrid w:val="0"/>
        <w:spacing w:line="360" w:lineRule="auto"/>
        <w:ind w:firstLine="640" w:firstLineChars="200"/>
        <w:jc w:val="left"/>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202</w:t>
      </w:r>
      <w:r>
        <w:rPr>
          <w:rFonts w:hint="eastAsia" w:ascii="仿宋_GB2312" w:hAnsi="Times New Roman" w:eastAsia="仿宋_GB2312" w:cs="Times New Roman"/>
          <w:bCs/>
          <w:sz w:val="32"/>
          <w:szCs w:val="32"/>
          <w:lang w:val="en-US" w:eastAsia="zh-CN"/>
        </w:rPr>
        <w:t>4</w:t>
      </w:r>
      <w:r>
        <w:rPr>
          <w:rFonts w:hint="eastAsia" w:ascii="仿宋_GB2312" w:hAnsi="Times New Roman" w:eastAsia="仿宋_GB2312" w:cs="Times New Roman"/>
          <w:bCs/>
          <w:sz w:val="32"/>
          <w:szCs w:val="32"/>
        </w:rPr>
        <w:t>年</w:t>
      </w:r>
      <w:r>
        <w:rPr>
          <w:rFonts w:hint="eastAsia" w:ascii="仿宋_GB2312" w:hAnsi="Times New Roman" w:eastAsia="仿宋_GB2312" w:cs="Times New Roman"/>
          <w:bCs/>
          <w:sz w:val="32"/>
          <w:szCs w:val="32"/>
          <w:lang w:val="en-US" w:eastAsia="zh-CN"/>
        </w:rPr>
        <w:t>4</w:t>
      </w:r>
      <w:r>
        <w:rPr>
          <w:rFonts w:hint="eastAsia" w:ascii="仿宋_GB2312" w:hAnsi="Times New Roman" w:eastAsia="仿宋_GB2312" w:cs="Times New Roman"/>
          <w:bCs/>
          <w:sz w:val="32"/>
          <w:szCs w:val="32"/>
        </w:rPr>
        <w:t>月1日-202</w:t>
      </w:r>
      <w:r>
        <w:rPr>
          <w:rFonts w:hint="eastAsia" w:ascii="仿宋_GB2312" w:hAnsi="Times New Roman" w:eastAsia="仿宋_GB2312" w:cs="Times New Roman"/>
          <w:bCs/>
          <w:sz w:val="32"/>
          <w:szCs w:val="32"/>
          <w:lang w:val="en-US" w:eastAsia="zh-CN"/>
        </w:rPr>
        <w:t>5</w:t>
      </w:r>
      <w:r>
        <w:rPr>
          <w:rFonts w:hint="eastAsia" w:ascii="仿宋_GB2312" w:hAnsi="Times New Roman" w:eastAsia="仿宋_GB2312" w:cs="Times New Roman"/>
          <w:bCs/>
          <w:sz w:val="32"/>
          <w:szCs w:val="32"/>
        </w:rPr>
        <w:t>年</w:t>
      </w:r>
      <w:r>
        <w:rPr>
          <w:rFonts w:hint="eastAsia" w:ascii="仿宋_GB2312" w:hAnsi="Times New Roman" w:eastAsia="仿宋_GB2312" w:cs="Times New Roman"/>
          <w:bCs/>
          <w:sz w:val="32"/>
          <w:szCs w:val="32"/>
          <w:lang w:val="en-US" w:eastAsia="zh-CN"/>
        </w:rPr>
        <w:t>3</w:t>
      </w:r>
      <w:r>
        <w:rPr>
          <w:rFonts w:hint="eastAsia" w:ascii="仿宋_GB2312" w:hAnsi="Times New Roman" w:eastAsia="仿宋_GB2312" w:cs="Times New Roman"/>
          <w:bCs/>
          <w:sz w:val="32"/>
          <w:szCs w:val="32"/>
        </w:rPr>
        <w:t>月</w:t>
      </w:r>
      <w:r>
        <w:rPr>
          <w:rFonts w:hint="eastAsia" w:ascii="仿宋_GB2312" w:hAnsi="Times New Roman" w:eastAsia="仿宋_GB2312" w:cs="Times New Roman"/>
          <w:bCs/>
          <w:sz w:val="32"/>
          <w:szCs w:val="32"/>
          <w:lang w:val="en-US" w:eastAsia="zh-CN"/>
        </w:rPr>
        <w:t>3</w:t>
      </w:r>
      <w:r>
        <w:rPr>
          <w:rFonts w:hint="eastAsia" w:ascii="仿宋_GB2312" w:hAnsi="Times New Roman" w:eastAsia="仿宋_GB2312" w:cs="Times New Roman"/>
          <w:bCs/>
          <w:sz w:val="32"/>
          <w:szCs w:val="32"/>
        </w:rPr>
        <w:t>1日（备注：保险受理发票期限）</w:t>
      </w:r>
    </w:p>
    <w:p>
      <w:pPr>
        <w:pStyle w:val="6"/>
        <w:widowControl/>
        <w:numPr>
          <w:ilvl w:val="0"/>
          <w:numId w:val="1"/>
        </w:numPr>
        <w:shd w:val="clear" w:color="auto" w:fill="FFFFFF"/>
        <w:snapToGrid w:val="0"/>
        <w:spacing w:line="360" w:lineRule="auto"/>
        <w:ind w:firstLineChars="0"/>
        <w:jc w:val="left"/>
        <w:textAlignment w:val="baseline"/>
        <w:rPr>
          <w:rFonts w:ascii="黑体" w:hAnsi="黑体" w:eastAsia="黑体" w:cs="Times New Roman"/>
          <w:bCs/>
          <w:sz w:val="32"/>
          <w:szCs w:val="32"/>
        </w:rPr>
      </w:pPr>
      <w:r>
        <w:rPr>
          <w:rFonts w:hint="eastAsia" w:ascii="黑体" w:hAnsi="黑体" w:eastAsia="黑体" w:cs="Times New Roman"/>
          <w:bCs/>
          <w:sz w:val="32"/>
          <w:szCs w:val="32"/>
        </w:rPr>
        <w:t>保险内容：</w:t>
      </w:r>
    </w:p>
    <w:p>
      <w:pPr>
        <w:widowControl/>
        <w:shd w:val="clear" w:color="auto" w:fill="FFFFFF"/>
        <w:snapToGrid w:val="0"/>
        <w:spacing w:line="360" w:lineRule="auto"/>
        <w:ind w:firstLine="640" w:firstLineChars="200"/>
        <w:jc w:val="left"/>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门急诊、住院、重大疾病、意外伤害</w:t>
      </w:r>
    </w:p>
    <w:p>
      <w:pPr>
        <w:pStyle w:val="6"/>
        <w:widowControl/>
        <w:numPr>
          <w:ilvl w:val="0"/>
          <w:numId w:val="1"/>
        </w:numPr>
        <w:shd w:val="clear" w:color="auto" w:fill="FFFFFF"/>
        <w:snapToGrid w:val="0"/>
        <w:spacing w:line="360" w:lineRule="auto"/>
        <w:ind w:firstLineChars="0"/>
        <w:jc w:val="left"/>
        <w:textAlignment w:val="baseline"/>
        <w:rPr>
          <w:rFonts w:ascii="黑体" w:hAnsi="黑体" w:eastAsia="黑体" w:cs="Times New Roman"/>
          <w:bCs/>
          <w:sz w:val="32"/>
          <w:szCs w:val="32"/>
        </w:rPr>
      </w:pPr>
      <w:r>
        <w:rPr>
          <w:rFonts w:hint="eastAsia" w:ascii="黑体" w:hAnsi="黑体" w:eastAsia="黑体" w:cs="Times New Roman"/>
          <w:bCs/>
          <w:sz w:val="32"/>
          <w:szCs w:val="32"/>
        </w:rPr>
        <w:t>理赔须知：</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新华保险公司工作人员按服务时间分别到松江校区、古北校区受理业务。</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填写新华保险公司个人索赔申请书。（注：上门受理时现场填写）；</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提供身份证正反面复印件；</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保险理赔金给付至教职工本人的上海农商银行工会会员卡；</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医疗费用发票原件；</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与医疗发票原件相对应的就诊病历复印件、出院小结复印件、影像学报告、病理报告复印件、住院费用明细清单复印件等；</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如遇到疑难问题，新华保险有权要求被保险人提供其他补充材料（包括病历原件），以备查看；</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急诊在本地未持医保卡就诊的，可先将发票原件复印留底，然后持医疗发票原件至上海市医保中心办理医疗费结算并加盖医保公章后，持医疗发票复印件、相关病历复印件及医疗费用结算单再办理理赔；</w:t>
      </w:r>
    </w:p>
    <w:p>
      <w:pPr>
        <w:pStyle w:val="6"/>
        <w:widowControl/>
        <w:numPr>
          <w:ilvl w:val="0"/>
          <w:numId w:val="2"/>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需退回医疗费用收据原件者：请在交单理赔同时提供医疗发票复印件并在个人索赔申请书注明“退还原件”，否则一律不予退回相关材料。</w:t>
      </w:r>
    </w:p>
    <w:p>
      <w:pPr>
        <w:pStyle w:val="6"/>
        <w:widowControl/>
        <w:numPr>
          <w:ilvl w:val="0"/>
          <w:numId w:val="1"/>
        </w:numPr>
        <w:shd w:val="clear" w:color="auto" w:fill="FFFFFF"/>
        <w:snapToGrid w:val="0"/>
        <w:spacing w:line="360" w:lineRule="auto"/>
        <w:ind w:firstLineChars="0"/>
        <w:jc w:val="left"/>
        <w:textAlignment w:val="baseline"/>
        <w:rPr>
          <w:rFonts w:ascii="黑体" w:hAnsi="黑体" w:eastAsia="黑体" w:cs="Times New Roman"/>
          <w:bCs/>
          <w:sz w:val="32"/>
          <w:szCs w:val="32"/>
        </w:rPr>
      </w:pPr>
      <w:r>
        <w:rPr>
          <w:rFonts w:hint="eastAsia" w:ascii="黑体" w:hAnsi="黑体" w:eastAsia="黑体" w:cs="Times New Roman"/>
          <w:bCs/>
          <w:sz w:val="32"/>
          <w:szCs w:val="32"/>
        </w:rPr>
        <w:t>其他事项</w:t>
      </w:r>
    </w:p>
    <w:p>
      <w:pPr>
        <w:widowControl/>
        <w:shd w:val="clear" w:color="auto" w:fill="FFFFFF"/>
        <w:snapToGrid w:val="0"/>
        <w:spacing w:line="360" w:lineRule="auto"/>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我校与新华保险公司特别约定的保险内容：</w:t>
      </w:r>
    </w:p>
    <w:p>
      <w:pPr>
        <w:pStyle w:val="6"/>
        <w:widowControl/>
        <w:numPr>
          <w:ilvl w:val="0"/>
          <w:numId w:val="3"/>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上海市二级以及二级以上公立医院、校医务室、松江区方松街道社区卫生服务中心、长宁区仙霞街道社区卫生服务中心、闵行区莘庄社区卫生服务中心、徐汇区徐家汇街道社区卫生服务中心</w:t>
      </w:r>
      <w:r>
        <w:rPr>
          <w:rFonts w:hint="eastAsia" w:ascii="仿宋_GB2312" w:hAnsi="Times New Roman" w:eastAsia="仿宋_GB2312" w:cs="Times New Roman"/>
          <w:bCs/>
          <w:sz w:val="32"/>
          <w:szCs w:val="32"/>
          <w:lang w:eastAsia="zh-CN"/>
        </w:rPr>
        <w:t>、</w:t>
      </w:r>
      <w:r>
        <w:rPr>
          <w:rFonts w:hint="eastAsia" w:ascii="仿宋_GB2312" w:hAnsi="Times New Roman" w:eastAsia="仿宋_GB2312" w:cs="Times New Roman"/>
          <w:bCs/>
          <w:sz w:val="32"/>
          <w:szCs w:val="32"/>
          <w:lang w:val="en-US" w:eastAsia="zh-CN"/>
        </w:rPr>
        <w:t>嘉定区南翔镇社区卫生服务中心</w:t>
      </w:r>
      <w:r>
        <w:rPr>
          <w:rFonts w:hint="eastAsia" w:ascii="仿宋_GB2312" w:hAnsi="Times New Roman" w:eastAsia="仿宋_GB2312" w:cs="Times New Roman"/>
          <w:bCs/>
          <w:sz w:val="32"/>
          <w:szCs w:val="32"/>
        </w:rPr>
        <w:t>已纳入理赔医院范围；</w:t>
      </w:r>
    </w:p>
    <w:p>
      <w:pPr>
        <w:pStyle w:val="6"/>
        <w:widowControl/>
        <w:numPr>
          <w:ilvl w:val="0"/>
          <w:numId w:val="3"/>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治疗性的牙周炎、牙龈炎的齿科炎症纳入正常理赔范围；</w:t>
      </w:r>
    </w:p>
    <w:p>
      <w:pPr>
        <w:pStyle w:val="6"/>
        <w:widowControl/>
        <w:numPr>
          <w:ilvl w:val="0"/>
          <w:numId w:val="3"/>
        </w:numPr>
        <w:shd w:val="clear" w:color="auto" w:fill="FFFFFF"/>
        <w:snapToGrid w:val="0"/>
        <w:spacing w:line="360" w:lineRule="auto"/>
        <w:ind w:firstLineChars="0"/>
        <w:textAlignment w:val="baseline"/>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门诊及慢性病中药汤剂限14天用量，如“抄方”需附前次就诊完整病历以及药方复印件等。</w:t>
      </w:r>
    </w:p>
    <w:p>
      <w:pPr>
        <w:pStyle w:val="6"/>
        <w:widowControl/>
        <w:numPr>
          <w:ilvl w:val="0"/>
          <w:numId w:val="1"/>
        </w:numPr>
        <w:shd w:val="clear" w:color="auto" w:fill="FFFFFF"/>
        <w:snapToGrid w:val="0"/>
        <w:spacing w:line="360" w:lineRule="auto"/>
        <w:ind w:firstLineChars="0"/>
        <w:jc w:val="left"/>
        <w:textAlignment w:val="baseline"/>
        <w:rPr>
          <w:rFonts w:hint="eastAsia" w:ascii="黑体" w:hAnsi="黑体" w:eastAsia="黑体" w:cs="Times New Roman"/>
          <w:bCs/>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黑体" w:hAnsi="黑体" w:eastAsia="黑体" w:cs="Times New Roman"/>
          <w:bCs/>
          <w:sz w:val="32"/>
          <w:szCs w:val="32"/>
          <w:lang w:val="en-US" w:eastAsia="zh-CN"/>
        </w:rPr>
        <w:t>门急诊在线理赔方式</w:t>
      </w:r>
    </w:p>
    <w:p>
      <w:pPr>
        <w:pStyle w:val="6"/>
        <w:widowControl/>
        <w:numPr>
          <w:ilvl w:val="0"/>
          <w:numId w:val="0"/>
        </w:numPr>
        <w:shd w:val="clear" w:color="auto" w:fill="FFFFFF"/>
        <w:snapToGrid w:val="0"/>
        <w:spacing w:line="360" w:lineRule="auto"/>
        <w:ind w:leftChars="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7984490" cy="2295525"/>
            <wp:effectExtent l="0" t="0" r="16510" b="9525"/>
            <wp:docPr id="1" name="图片 1"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a:blip r:embed="rId4"/>
                    <a:stretch>
                      <a:fillRect/>
                    </a:stretch>
                  </pic:blipFill>
                  <pic:spPr>
                    <a:xfrm>
                      <a:off x="0" y="0"/>
                      <a:ext cx="7984490" cy="2295525"/>
                    </a:xfrm>
                    <a:prstGeom prst="rect">
                      <a:avLst/>
                    </a:prstGeom>
                    <a:noFill/>
                    <a:ln w="9525">
                      <a:noFill/>
                    </a:ln>
                  </pic:spPr>
                </pic:pic>
              </a:graphicData>
            </a:graphic>
          </wp:inline>
        </w:drawing>
      </w:r>
    </w:p>
    <w:p>
      <w:pPr>
        <w:pStyle w:val="6"/>
        <w:widowControl/>
        <w:numPr>
          <w:ilvl w:val="0"/>
          <w:numId w:val="0"/>
        </w:numPr>
        <w:shd w:val="clear" w:color="auto" w:fill="FFFFFF"/>
        <w:snapToGrid w:val="0"/>
        <w:spacing w:line="360" w:lineRule="auto"/>
        <w:ind w:leftChars="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6581775" cy="2746375"/>
            <wp:effectExtent l="0" t="0" r="9525" b="158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6581775" cy="2746375"/>
                    </a:xfrm>
                    <a:prstGeom prst="rect">
                      <a:avLst/>
                    </a:prstGeom>
                    <a:noFill/>
                    <a:ln w="9525">
                      <a:noFill/>
                    </a:ln>
                  </pic:spPr>
                </pic:pic>
              </a:graphicData>
            </a:graphic>
          </wp:inline>
        </w:drawing>
      </w:r>
    </w:p>
    <w:p>
      <w:pPr>
        <w:keepNext w:val="0"/>
        <w:keepLines w:val="0"/>
        <w:widowControl/>
        <w:suppressLineNumbers w:val="0"/>
        <w:jc w:val="left"/>
      </w:pPr>
      <w:r>
        <w:rPr>
          <w:rFonts w:ascii="黑体" w:hAnsi="宋体" w:eastAsia="黑体" w:cs="黑体"/>
          <w:b/>
          <w:bCs/>
          <w:color w:val="000000"/>
          <w:kern w:val="0"/>
          <w:sz w:val="22"/>
          <w:szCs w:val="22"/>
          <w:lang w:val="en-US" w:eastAsia="zh-CN" w:bidi="ar"/>
        </w:rPr>
        <w:t>3）完善信息：</w:t>
      </w:r>
    </w:p>
    <w:p>
      <w:pPr>
        <w:pStyle w:val="6"/>
        <w:widowControl/>
        <w:numPr>
          <w:ilvl w:val="0"/>
          <w:numId w:val="0"/>
        </w:numPr>
        <w:shd w:val="clear" w:color="auto" w:fill="FFFFFF"/>
        <w:snapToGrid w:val="0"/>
        <w:spacing w:line="360" w:lineRule="auto"/>
        <w:ind w:leftChars="0"/>
        <w:textAlignment w:val="baseline"/>
      </w:pPr>
      <w:r>
        <w:drawing>
          <wp:inline distT="0" distB="0" distL="114300" distR="114300">
            <wp:extent cx="8851265" cy="4103370"/>
            <wp:effectExtent l="0" t="0" r="698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8851265" cy="4103370"/>
                    </a:xfrm>
                    <a:prstGeom prst="rect">
                      <a:avLst/>
                    </a:prstGeom>
                    <a:noFill/>
                    <a:ln>
                      <a:noFill/>
                    </a:ln>
                  </pic:spPr>
                </pic:pic>
              </a:graphicData>
            </a:graphic>
          </wp:inline>
        </w:drawing>
      </w:r>
    </w:p>
    <w:p>
      <w:pPr>
        <w:pStyle w:val="6"/>
        <w:widowControl/>
        <w:numPr>
          <w:ilvl w:val="0"/>
          <w:numId w:val="0"/>
        </w:numPr>
        <w:shd w:val="clear" w:color="auto" w:fill="FFFFFF"/>
        <w:snapToGrid w:val="0"/>
        <w:spacing w:line="360" w:lineRule="auto"/>
        <w:ind w:leftChars="0"/>
        <w:textAlignment w:val="baseline"/>
      </w:pPr>
      <w:r>
        <w:drawing>
          <wp:inline distT="0" distB="0" distL="114300" distR="114300">
            <wp:extent cx="8853805" cy="3725545"/>
            <wp:effectExtent l="0" t="0" r="444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8853805" cy="3725545"/>
                    </a:xfrm>
                    <a:prstGeom prst="rect">
                      <a:avLst/>
                    </a:prstGeom>
                    <a:noFill/>
                    <a:ln>
                      <a:noFill/>
                    </a:ln>
                  </pic:spPr>
                </pic:pic>
              </a:graphicData>
            </a:graphic>
          </wp:inline>
        </w:drawing>
      </w: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pPr>
      <w:r>
        <w:rPr>
          <w:rFonts w:ascii="黑体" w:hAnsi="宋体" w:eastAsia="黑体" w:cs="黑体"/>
          <w:b/>
          <w:bCs/>
          <w:color w:val="000000"/>
          <w:kern w:val="0"/>
          <w:sz w:val="22"/>
          <w:szCs w:val="22"/>
          <w:lang w:val="en-US" w:eastAsia="zh-CN" w:bidi="ar"/>
        </w:rPr>
        <w:t>4）理赔申请</w:t>
      </w:r>
      <w:r>
        <w:drawing>
          <wp:inline distT="0" distB="0" distL="114300" distR="114300">
            <wp:extent cx="8853170" cy="3858895"/>
            <wp:effectExtent l="0" t="0" r="508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8853170" cy="3858895"/>
                    </a:xfrm>
                    <a:prstGeom prst="rect">
                      <a:avLst/>
                    </a:prstGeom>
                    <a:noFill/>
                    <a:ln>
                      <a:noFill/>
                    </a:ln>
                  </pic:spPr>
                </pic:pic>
              </a:graphicData>
            </a:graphic>
          </wp:inline>
        </w:drawing>
      </w:r>
      <w:r>
        <w:drawing>
          <wp:inline distT="0" distB="0" distL="114300" distR="114300">
            <wp:extent cx="8851900" cy="3711575"/>
            <wp:effectExtent l="0" t="0" r="635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8851900" cy="3711575"/>
                    </a:xfrm>
                    <a:prstGeom prst="rect">
                      <a:avLst/>
                    </a:prstGeom>
                    <a:noFill/>
                    <a:ln>
                      <a:noFill/>
                    </a:ln>
                  </pic:spPr>
                </pic:pic>
              </a:graphicData>
            </a:graphic>
          </wp:inline>
        </w:drawing>
      </w: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pPr>
      <w:r>
        <w:rPr>
          <w:rFonts w:ascii="黑体" w:hAnsi="宋体" w:eastAsia="黑体" w:cs="黑体"/>
          <w:b/>
          <w:bCs/>
          <w:color w:val="000000"/>
          <w:kern w:val="0"/>
          <w:sz w:val="22"/>
          <w:szCs w:val="22"/>
          <w:lang w:val="en-US" w:eastAsia="zh-CN" w:bidi="ar"/>
        </w:rPr>
        <w:t>5）理赔查询</w:t>
      </w:r>
      <w:r>
        <w:drawing>
          <wp:inline distT="0" distB="0" distL="114300" distR="114300">
            <wp:extent cx="8851900" cy="3694430"/>
            <wp:effectExtent l="0" t="0" r="635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8851900" cy="3694430"/>
                    </a:xfrm>
                    <a:prstGeom prst="rect">
                      <a:avLst/>
                    </a:prstGeom>
                    <a:noFill/>
                    <a:ln>
                      <a:noFill/>
                    </a:ln>
                  </pic:spPr>
                </pic:pic>
              </a:graphicData>
            </a:graphic>
          </wp:inline>
        </w:drawing>
      </w:r>
      <w:r>
        <w:drawing>
          <wp:inline distT="0" distB="0" distL="114300" distR="114300">
            <wp:extent cx="8851900" cy="3706495"/>
            <wp:effectExtent l="0" t="0" r="635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8851900" cy="3706495"/>
                    </a:xfrm>
                    <a:prstGeom prst="rect">
                      <a:avLst/>
                    </a:prstGeom>
                    <a:noFill/>
                    <a:ln>
                      <a:noFill/>
                    </a:ln>
                  </pic:spPr>
                </pic:pic>
              </a:graphicData>
            </a:graphic>
          </wp:inline>
        </w:drawing>
      </w: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rPr>
          <w:rFonts w:ascii="黑体" w:hAnsi="宋体" w:eastAsia="黑体" w:cs="黑体"/>
          <w:b/>
          <w:bCs/>
          <w:color w:val="000000"/>
          <w:kern w:val="0"/>
          <w:sz w:val="22"/>
          <w:szCs w:val="22"/>
          <w:lang w:val="en-US" w:eastAsia="zh-CN" w:bidi="ar"/>
        </w:rPr>
      </w:pPr>
    </w:p>
    <w:p>
      <w:pPr>
        <w:keepNext w:val="0"/>
        <w:keepLines w:val="0"/>
        <w:widowControl/>
        <w:suppressLineNumbers w:val="0"/>
        <w:jc w:val="left"/>
      </w:pPr>
      <w:r>
        <w:rPr>
          <w:rFonts w:ascii="黑体" w:hAnsi="宋体" w:eastAsia="黑体" w:cs="黑体"/>
          <w:b/>
          <w:bCs/>
          <w:color w:val="000000"/>
          <w:kern w:val="0"/>
          <w:sz w:val="22"/>
          <w:szCs w:val="22"/>
          <w:lang w:val="en-US" w:eastAsia="zh-CN" w:bidi="ar"/>
        </w:rPr>
        <w:t>6）抽检</w:t>
      </w:r>
    </w:p>
    <w:p>
      <w:pPr>
        <w:pStyle w:val="6"/>
        <w:widowControl/>
        <w:numPr>
          <w:ilvl w:val="0"/>
          <w:numId w:val="0"/>
        </w:numPr>
        <w:shd w:val="clear" w:color="auto" w:fill="FFFFFF"/>
        <w:snapToGrid w:val="0"/>
        <w:spacing w:line="360" w:lineRule="auto"/>
        <w:ind w:leftChars="0"/>
        <w:textAlignment w:val="baseline"/>
      </w:pPr>
      <w:r>
        <w:drawing>
          <wp:inline distT="0" distB="0" distL="114300" distR="114300">
            <wp:extent cx="8860155" cy="3694430"/>
            <wp:effectExtent l="0" t="0" r="1714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8860155" cy="3694430"/>
                    </a:xfrm>
                    <a:prstGeom prst="rect">
                      <a:avLst/>
                    </a:prstGeom>
                    <a:noFill/>
                    <a:ln>
                      <a:noFill/>
                    </a:ln>
                  </pic:spPr>
                </pic:pic>
              </a:graphicData>
            </a:graphic>
          </wp:inline>
        </w:drawing>
      </w:r>
    </w:p>
    <w:p>
      <w:pPr>
        <w:keepNext w:val="0"/>
        <w:keepLines w:val="0"/>
        <w:widowControl/>
        <w:suppressLineNumbers w:val="0"/>
        <w:jc w:val="left"/>
      </w:pPr>
      <w:r>
        <w:rPr>
          <w:rFonts w:ascii="黑体" w:hAnsi="宋体" w:eastAsia="黑体" w:cs="黑体"/>
          <w:b/>
          <w:bCs/>
          <w:color w:val="000000"/>
          <w:kern w:val="0"/>
          <w:sz w:val="22"/>
          <w:szCs w:val="22"/>
          <w:lang w:val="en-US" w:eastAsia="zh-CN" w:bidi="ar"/>
        </w:rPr>
        <w:t xml:space="preserve">7）常见问题 </w:t>
      </w:r>
    </w:p>
    <w:p>
      <w:pPr>
        <w:keepNext w:val="0"/>
        <w:keepLines w:val="0"/>
        <w:widowControl/>
        <w:suppressLineNumbers w:val="0"/>
        <w:jc w:val="left"/>
        <w:rPr>
          <w:b/>
          <w:bCs/>
        </w:rPr>
      </w:pPr>
      <w:r>
        <w:rPr>
          <w:rFonts w:ascii="黑体" w:hAnsi="宋体" w:eastAsia="黑体" w:cs="黑体"/>
          <w:b/>
          <w:bCs/>
          <w:color w:val="000000"/>
          <w:kern w:val="0"/>
          <w:sz w:val="19"/>
          <w:szCs w:val="19"/>
          <w:lang w:val="en-US" w:eastAsia="zh-CN" w:bidi="ar"/>
        </w:rPr>
        <w:t xml:space="preserve">1 </w:t>
      </w:r>
      <w:r>
        <w:rPr>
          <w:rFonts w:hint="eastAsia" w:ascii="黑体" w:hAnsi="宋体" w:eastAsia="黑体" w:cs="黑体"/>
          <w:b/>
          <w:bCs/>
          <w:color w:val="000000"/>
          <w:kern w:val="0"/>
          <w:sz w:val="22"/>
          <w:szCs w:val="22"/>
          <w:lang w:val="en-US" w:eastAsia="zh-CN" w:bidi="ar"/>
        </w:rPr>
        <w:t xml:space="preserve">如果出现问题件，处理流程是什么？ </w:t>
      </w:r>
    </w:p>
    <w:p>
      <w:pPr>
        <w:keepNext w:val="0"/>
        <w:keepLines w:val="0"/>
        <w:widowControl/>
        <w:suppressLineNumbers w:val="0"/>
        <w:jc w:val="left"/>
      </w:pPr>
      <w:r>
        <w:rPr>
          <w:rFonts w:hint="eastAsia" w:ascii="黑体" w:hAnsi="宋体" w:eastAsia="黑体" w:cs="黑体"/>
          <w:color w:val="000000"/>
          <w:kern w:val="0"/>
          <w:sz w:val="22"/>
          <w:szCs w:val="22"/>
          <w:lang w:val="en-US" w:eastAsia="zh-CN" w:bidi="ar"/>
        </w:rPr>
        <w:t xml:space="preserve">整份材料都没有提供病历平台会短信通知补齐，若赔案中部分就诊日期无病历的不会做问题件处理，在结案的赔付通知书中会告知拒付理由。 </w:t>
      </w:r>
    </w:p>
    <w:p>
      <w:pPr>
        <w:keepNext w:val="0"/>
        <w:keepLines w:val="0"/>
        <w:widowControl/>
        <w:suppressLineNumbers w:val="0"/>
        <w:jc w:val="left"/>
        <w:rPr>
          <w:b/>
          <w:bCs/>
        </w:rPr>
      </w:pPr>
      <w:r>
        <w:rPr>
          <w:rFonts w:hint="eastAsia" w:ascii="黑体" w:hAnsi="宋体" w:eastAsia="黑体" w:cs="黑体"/>
          <w:b/>
          <w:bCs/>
          <w:color w:val="000000"/>
          <w:kern w:val="0"/>
          <w:sz w:val="19"/>
          <w:szCs w:val="19"/>
          <w:lang w:val="en-US" w:eastAsia="zh-CN" w:bidi="ar"/>
        </w:rPr>
        <w:t xml:space="preserve">2 </w:t>
      </w:r>
      <w:r>
        <w:rPr>
          <w:rFonts w:hint="eastAsia" w:ascii="黑体" w:hAnsi="宋体" w:eastAsia="黑体" w:cs="黑体"/>
          <w:b/>
          <w:bCs/>
          <w:color w:val="000000"/>
          <w:kern w:val="0"/>
          <w:sz w:val="22"/>
          <w:szCs w:val="22"/>
          <w:lang w:val="en-US" w:eastAsia="zh-CN" w:bidi="ar"/>
        </w:rPr>
        <w:t xml:space="preserve">理赔时间范围是什么？ </w:t>
      </w:r>
    </w:p>
    <w:p>
      <w:pPr>
        <w:keepNext w:val="0"/>
        <w:keepLines w:val="0"/>
        <w:widowControl/>
        <w:suppressLineNumbers w:val="0"/>
        <w:jc w:val="left"/>
      </w:pPr>
      <w:r>
        <w:rPr>
          <w:rFonts w:hint="eastAsia" w:ascii="黑体" w:hAnsi="宋体" w:eastAsia="黑体" w:cs="黑体"/>
          <w:color w:val="000000"/>
          <w:kern w:val="0"/>
          <w:sz w:val="22"/>
          <w:szCs w:val="22"/>
          <w:lang w:val="en-US" w:eastAsia="zh-CN" w:bidi="ar"/>
        </w:rPr>
        <w:t xml:space="preserve">发票日期在保单年度内 </w:t>
      </w:r>
    </w:p>
    <w:p>
      <w:pPr>
        <w:keepNext w:val="0"/>
        <w:keepLines w:val="0"/>
        <w:widowControl/>
        <w:suppressLineNumbers w:val="0"/>
        <w:jc w:val="left"/>
        <w:rPr>
          <w:b/>
          <w:bCs/>
        </w:rPr>
      </w:pPr>
      <w:r>
        <w:rPr>
          <w:rFonts w:hint="eastAsia" w:ascii="黑体" w:hAnsi="宋体" w:eastAsia="黑体" w:cs="黑体"/>
          <w:b/>
          <w:bCs/>
          <w:color w:val="000000"/>
          <w:kern w:val="0"/>
          <w:sz w:val="19"/>
          <w:szCs w:val="19"/>
          <w:lang w:val="en-US" w:eastAsia="zh-CN" w:bidi="ar"/>
        </w:rPr>
        <w:t xml:space="preserve">3 </w:t>
      </w:r>
      <w:r>
        <w:rPr>
          <w:rFonts w:hint="eastAsia" w:ascii="黑体" w:hAnsi="宋体" w:eastAsia="黑体" w:cs="黑体"/>
          <w:b/>
          <w:bCs/>
          <w:color w:val="000000"/>
          <w:kern w:val="0"/>
          <w:sz w:val="22"/>
          <w:szCs w:val="22"/>
          <w:lang w:val="en-US" w:eastAsia="zh-CN" w:bidi="ar"/>
        </w:rPr>
        <w:t xml:space="preserve">手机理赔有无限额和其他限制？ </w:t>
      </w:r>
    </w:p>
    <w:p>
      <w:pPr>
        <w:keepNext w:val="0"/>
        <w:keepLines w:val="0"/>
        <w:widowControl/>
        <w:suppressLineNumbers w:val="0"/>
        <w:jc w:val="left"/>
      </w:pPr>
      <w:r>
        <w:rPr>
          <w:rFonts w:hint="eastAsia" w:ascii="黑体" w:hAnsi="宋体" w:eastAsia="黑体" w:cs="黑体"/>
          <w:b/>
          <w:bCs/>
          <w:color w:val="000000"/>
          <w:kern w:val="0"/>
          <w:sz w:val="22"/>
          <w:szCs w:val="22"/>
          <w:lang w:val="en-US" w:eastAsia="zh-CN" w:bidi="ar"/>
        </w:rPr>
        <w:t>有</w:t>
      </w:r>
      <w:r>
        <w:rPr>
          <w:rFonts w:hint="eastAsia" w:ascii="黑体" w:hAnsi="宋体" w:eastAsia="黑体" w:cs="黑体"/>
          <w:color w:val="000000"/>
          <w:kern w:val="0"/>
          <w:sz w:val="22"/>
          <w:szCs w:val="22"/>
          <w:lang w:val="en-US" w:eastAsia="zh-CN" w:bidi="ar"/>
        </w:rPr>
        <w:t>，门诊单次申请发票总金额上限为 5000 元，如有多次就诊多张发票合计超过 5000 元， 可分批申请。</w:t>
      </w:r>
      <w:r>
        <w:rPr>
          <w:rFonts w:hint="eastAsia" w:ascii="黑体" w:hAnsi="宋体" w:eastAsia="黑体" w:cs="黑体"/>
          <w:b/>
          <w:bCs/>
          <w:color w:val="FF0000"/>
          <w:kern w:val="0"/>
          <w:sz w:val="24"/>
          <w:szCs w:val="24"/>
          <w:lang w:val="en-US" w:eastAsia="zh-CN" w:bidi="ar"/>
        </w:rPr>
        <w:t xml:space="preserve">住院发票仍以线下传统方式提交。 </w:t>
      </w:r>
    </w:p>
    <w:p>
      <w:pPr>
        <w:keepNext w:val="0"/>
        <w:keepLines w:val="0"/>
        <w:widowControl/>
        <w:suppressLineNumbers w:val="0"/>
        <w:jc w:val="left"/>
        <w:rPr>
          <w:b/>
          <w:bCs/>
        </w:rPr>
      </w:pPr>
      <w:bookmarkStart w:id="0" w:name="_GoBack"/>
      <w:r>
        <w:rPr>
          <w:rFonts w:hint="eastAsia" w:ascii="黑体" w:hAnsi="宋体" w:eastAsia="黑体" w:cs="黑体"/>
          <w:b/>
          <w:bCs/>
          <w:color w:val="000000"/>
          <w:kern w:val="0"/>
          <w:sz w:val="19"/>
          <w:szCs w:val="19"/>
          <w:lang w:val="en-US" w:eastAsia="zh-CN" w:bidi="ar"/>
        </w:rPr>
        <w:t xml:space="preserve">4 </w:t>
      </w:r>
      <w:r>
        <w:rPr>
          <w:rFonts w:hint="eastAsia" w:ascii="黑体" w:hAnsi="宋体" w:eastAsia="黑体" w:cs="黑体"/>
          <w:b/>
          <w:bCs/>
          <w:color w:val="000000"/>
          <w:kern w:val="0"/>
          <w:sz w:val="22"/>
          <w:szCs w:val="22"/>
          <w:lang w:val="en-US" w:eastAsia="zh-CN" w:bidi="ar"/>
        </w:rPr>
        <w:t xml:space="preserve">为什么要进行物理件抽检？ </w:t>
      </w:r>
    </w:p>
    <w:bookmarkEnd w:id="0"/>
    <w:p>
      <w:pPr>
        <w:keepNext w:val="0"/>
        <w:keepLines w:val="0"/>
        <w:widowControl/>
        <w:suppressLineNumbers w:val="0"/>
        <w:jc w:val="left"/>
      </w:pPr>
      <w:r>
        <w:rPr>
          <w:rFonts w:hint="eastAsia" w:ascii="黑体" w:hAnsi="宋体" w:eastAsia="黑体" w:cs="黑体"/>
          <w:color w:val="000000"/>
          <w:kern w:val="0"/>
          <w:sz w:val="22"/>
          <w:szCs w:val="22"/>
          <w:lang w:val="en-US" w:eastAsia="zh-CN" w:bidi="ar"/>
        </w:rPr>
        <w:t>为保证在线理赔功能使用初期平稳有序、保证业务品质、符合行业及运营监管要求，我司将进行 5%左右的物理件抽检。</w:t>
      </w:r>
      <w:r>
        <w:rPr>
          <w:rFonts w:hint="eastAsia" w:ascii="黑体" w:hAnsi="宋体" w:eastAsia="黑体" w:cs="黑体"/>
          <w:b/>
          <w:bCs/>
          <w:color w:val="000000"/>
          <w:kern w:val="0"/>
          <w:sz w:val="20"/>
          <w:szCs w:val="20"/>
          <w:lang w:val="en-US" w:eastAsia="zh-CN" w:bidi="ar"/>
        </w:rPr>
        <w:t>（如被物理件抽查，会以短信方式通知）</w:t>
      </w:r>
      <w:r>
        <w:rPr>
          <w:rFonts w:hint="eastAsia" w:ascii="黑体" w:hAnsi="宋体" w:eastAsia="黑体" w:cs="黑体"/>
          <w:color w:val="000000"/>
          <w:kern w:val="0"/>
          <w:sz w:val="22"/>
          <w:szCs w:val="22"/>
          <w:lang w:val="en-US" w:eastAsia="zh-CN" w:bidi="ar"/>
        </w:rPr>
        <w:t>。</w:t>
      </w:r>
    </w:p>
    <w:p>
      <w:pPr>
        <w:pStyle w:val="6"/>
        <w:widowControl/>
        <w:numPr>
          <w:ilvl w:val="0"/>
          <w:numId w:val="0"/>
        </w:numPr>
        <w:shd w:val="clear" w:color="auto" w:fill="FFFFFF"/>
        <w:snapToGrid w:val="0"/>
        <w:spacing w:line="360" w:lineRule="auto"/>
        <w:ind w:leftChars="0"/>
        <w:textAlignment w:val="baseline"/>
        <w:rPr>
          <w:rFonts w:hint="eastAsia"/>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2F2B0A"/>
    <w:multiLevelType w:val="multilevel"/>
    <w:tmpl w:val="132F2B0A"/>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4060976"/>
    <w:multiLevelType w:val="multilevel"/>
    <w:tmpl w:val="3406097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D5459FB"/>
    <w:multiLevelType w:val="multilevel"/>
    <w:tmpl w:val="7D5459F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c5ZjBlYzMxM2RlOThjNzdkODFlNzI3YzlmZWFhNWIifQ=="/>
  </w:docVars>
  <w:rsids>
    <w:rsidRoot w:val="00F55C7B"/>
    <w:rsid w:val="001846C9"/>
    <w:rsid w:val="002E1F57"/>
    <w:rsid w:val="00444779"/>
    <w:rsid w:val="005C7061"/>
    <w:rsid w:val="0063364D"/>
    <w:rsid w:val="00674DC9"/>
    <w:rsid w:val="006A673E"/>
    <w:rsid w:val="006C58A3"/>
    <w:rsid w:val="00715632"/>
    <w:rsid w:val="007A141E"/>
    <w:rsid w:val="009454D6"/>
    <w:rsid w:val="0098481B"/>
    <w:rsid w:val="009D5372"/>
    <w:rsid w:val="00A81235"/>
    <w:rsid w:val="00A84265"/>
    <w:rsid w:val="00AF0E89"/>
    <w:rsid w:val="00B27CB6"/>
    <w:rsid w:val="00B34D07"/>
    <w:rsid w:val="00BC7C24"/>
    <w:rsid w:val="00C35DF1"/>
    <w:rsid w:val="00D412FF"/>
    <w:rsid w:val="00D56F10"/>
    <w:rsid w:val="00D73870"/>
    <w:rsid w:val="00E82392"/>
    <w:rsid w:val="00F17249"/>
    <w:rsid w:val="00F35755"/>
    <w:rsid w:val="00F55C7B"/>
    <w:rsid w:val="00F61D79"/>
    <w:rsid w:val="00F73D91"/>
    <w:rsid w:val="00FB66B5"/>
    <w:rsid w:val="0B550289"/>
    <w:rsid w:val="148B2DFA"/>
    <w:rsid w:val="175F6A82"/>
    <w:rsid w:val="269B185D"/>
    <w:rsid w:val="3DF715D5"/>
    <w:rsid w:val="57527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11</Pages>
  <Words>646</Words>
  <Characters>664</Characters>
  <Lines>4</Lines>
  <Paragraphs>1</Paragraphs>
  <TotalTime>8</TotalTime>
  <ScaleCrop>false</ScaleCrop>
  <LinksUpToDate>false</LinksUpToDate>
  <CharactersWithSpaces>665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2018-02-24T01:47:00Z</dcterms:created>
  <dc:creator>王海华</dc:creator>
  <cp:lastModifiedBy>艳子</cp:lastModifiedBy>
  <dcterms:modified xsi:type="dcterms:W3CDTF">2024-07-18T08:04:41Z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8E5123AF67414AA5969738823C154C71</vt:lpwstr>
  </property>
</Properties>
</file>